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2849870A" w:rsidR="008D616A" w:rsidRDefault="008D616A" w:rsidP="15DA1EB6">
      <w:pPr>
        <w:pStyle w:val="CRCoverPage"/>
        <w:tabs>
          <w:tab w:val="right" w:pos="9639"/>
        </w:tabs>
        <w:spacing w:after="0"/>
        <w:rPr>
          <w:b/>
          <w:bCs/>
          <w:noProof/>
          <w:sz w:val="24"/>
          <w:szCs w:val="24"/>
        </w:rPr>
      </w:pPr>
      <w:bookmarkStart w:id="0" w:name="_Hlk177645036"/>
      <w:r w:rsidRPr="393E021E">
        <w:rPr>
          <w:b/>
          <w:bCs/>
          <w:noProof/>
          <w:sz w:val="24"/>
          <w:szCs w:val="24"/>
        </w:rPr>
        <w:t>3GPP TSG-RAN WG4 Meeting #116bis</w:t>
      </w:r>
      <w:r w:rsidR="09172BB7" w:rsidRPr="393E021E">
        <w:rPr>
          <w:b/>
          <w:bCs/>
          <w:noProof/>
          <w:sz w:val="24"/>
          <w:szCs w:val="24"/>
        </w:rPr>
        <w:t xml:space="preserve">                                     </w:t>
      </w:r>
      <w:r w:rsidR="13C3F2DD" w:rsidRPr="393E021E">
        <w:rPr>
          <w:b/>
          <w:bCs/>
          <w:noProof/>
          <w:sz w:val="24"/>
          <w:szCs w:val="24"/>
        </w:rPr>
        <w:t>R4-2513023</w:t>
      </w:r>
    </w:p>
    <w:p w14:paraId="6B0CDAFA" w14:textId="75BE6C9E" w:rsidR="008D616A" w:rsidRPr="002209E4" w:rsidRDefault="008D616A" w:rsidP="008D616A">
      <w:pPr>
        <w:pStyle w:val="Header"/>
        <w:tabs>
          <w:tab w:val="right" w:pos="9781"/>
          <w:tab w:val="right" w:pos="13323"/>
        </w:tabs>
        <w:spacing w:before="60" w:after="60"/>
        <w:outlineLvl w:val="0"/>
        <w:rPr>
          <w:rFonts w:eastAsia="SimSun" w:cs="Arial"/>
          <w:b w:val="0"/>
          <w:sz w:val="24"/>
          <w:szCs w:val="24"/>
          <w:lang w:eastAsia="zh-CN"/>
        </w:rPr>
      </w:pPr>
      <w:r w:rsidRPr="008D616A">
        <w:rPr>
          <w:rFonts w:eastAsia="SimSun" w:cs="Arial"/>
          <w:sz w:val="24"/>
          <w:szCs w:val="24"/>
          <w:lang w:eastAsia="zh-CN"/>
        </w:rPr>
        <w:t>Prague, Czech Republic, October 13-17, 2025</w:t>
      </w:r>
      <w:r>
        <w:rPr>
          <w:rFonts w:cs="Arial"/>
          <w:sz w:val="24"/>
        </w:rPr>
        <w:br/>
      </w:r>
    </w:p>
    <w:p w14:paraId="288C4EB9" w14:textId="7E37C10B" w:rsidR="008D616A" w:rsidRPr="005E4466" w:rsidRDefault="008D616A" w:rsidP="393E021E">
      <w:pPr>
        <w:spacing w:after="60"/>
        <w:ind w:left="1985" w:hanging="1985"/>
        <w:rPr>
          <w:rFonts w:ascii="Arial" w:hAnsi="Arial" w:cs="Arial"/>
          <w:b/>
          <w:bCs/>
        </w:rPr>
      </w:pPr>
      <w:r w:rsidRPr="393E021E">
        <w:rPr>
          <w:rFonts w:ascii="Arial" w:hAnsi="Arial" w:cs="Arial"/>
          <w:b/>
          <w:bCs/>
        </w:rPr>
        <w:t>Title:</w:t>
      </w:r>
      <w:r>
        <w:tab/>
      </w:r>
      <w:bookmarkEnd w:id="0"/>
      <w:r w:rsidRPr="393E021E">
        <w:rPr>
          <w:rFonts w:ascii="Arial" w:hAnsi="Arial" w:cs="Arial"/>
          <w:b/>
          <w:bCs/>
        </w:rPr>
        <w:t xml:space="preserve">Qualcomm views on </w:t>
      </w:r>
      <w:r w:rsidR="00DF7920" w:rsidRPr="393E021E">
        <w:rPr>
          <w:rFonts w:ascii="Arial" w:hAnsi="Arial" w:cs="Arial"/>
          <w:b/>
          <w:bCs/>
        </w:rPr>
        <w:t>RAN4 operation</w:t>
      </w:r>
      <w:r w:rsidR="373C99B6" w:rsidRPr="393E021E">
        <w:rPr>
          <w:rFonts w:ascii="Arial" w:hAnsi="Arial" w:cs="Arial"/>
          <w:b/>
          <w:bCs/>
        </w:rPr>
        <w:t>al</w:t>
      </w:r>
      <w:r w:rsidR="00DF7920" w:rsidRPr="393E021E">
        <w:rPr>
          <w:rFonts w:ascii="Arial" w:hAnsi="Arial" w:cs="Arial"/>
          <w:b/>
          <w:bCs/>
        </w:rPr>
        <w:t xml:space="preserve"> efficiency</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00D3292F" w:rsidR="008D616A" w:rsidRDefault="008D616A" w:rsidP="15DA1EB6">
      <w:pPr>
        <w:spacing w:after="60"/>
        <w:ind w:left="1985" w:hanging="1985"/>
        <w:rPr>
          <w:rFonts w:ascii="Arial" w:hAnsi="Arial" w:cs="Arial"/>
          <w:b/>
          <w:bCs/>
        </w:rPr>
      </w:pPr>
      <w:r w:rsidRPr="15DA1EB6">
        <w:rPr>
          <w:rFonts w:ascii="Arial" w:hAnsi="Arial" w:cs="Arial"/>
          <w:b/>
          <w:bCs/>
        </w:rPr>
        <w:t>Agenda item:</w:t>
      </w:r>
      <w:r>
        <w:tab/>
      </w:r>
      <w:r w:rsidR="62A57446" w:rsidRPr="15DA1EB6">
        <w:rPr>
          <w:rFonts w:ascii="Arial" w:hAnsi="Arial" w:cs="Arial"/>
          <w:b/>
          <w:bCs/>
        </w:rPr>
        <w:t>8.13</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2224DADB" w:rsidR="008D616A" w:rsidRPr="005E4466" w:rsidRDefault="008D616A" w:rsidP="008D616A">
      <w:pPr>
        <w:spacing w:after="60"/>
        <w:ind w:left="1985" w:hanging="1985"/>
        <w:rPr>
          <w:rFonts w:ascii="Arial" w:hAnsi="Arial" w:cs="Arial"/>
          <w:b/>
        </w:rPr>
      </w:pPr>
      <w:r>
        <w:rPr>
          <w:rFonts w:ascii="Arial" w:hAnsi="Arial" w:cs="Arial"/>
          <w:b/>
        </w:rPr>
        <w:t xml:space="preserve">SI: </w:t>
      </w:r>
      <w:r>
        <w:rPr>
          <w:rFonts w:ascii="Arial" w:hAnsi="Arial" w:cs="Arial"/>
          <w:b/>
        </w:rPr>
        <w:tab/>
      </w:r>
      <w:r w:rsidR="00630DDE" w:rsidRPr="00630DDE">
        <w:rPr>
          <w:rFonts w:ascii="Arial" w:hAnsi="Arial" w:cs="Arial"/>
          <w:b/>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4167DB55" w:rsidR="008D616A" w:rsidRDefault="09FFBF2E" w:rsidP="008D616A">
      <w:pPr>
        <w:pStyle w:val="Heading1"/>
      </w:pPr>
      <w:r>
        <w:t>1.</w:t>
      </w:r>
      <w:r w:rsidR="008D616A">
        <w:tab/>
        <w:t>Introduction</w:t>
      </w:r>
    </w:p>
    <w:p w14:paraId="1636C4DB" w14:textId="5AFCE1BF" w:rsidR="008D616A" w:rsidRDefault="008B3530" w:rsidP="008D616A">
      <w:pPr>
        <w:rPr>
          <w:lang w:eastAsia="en-US"/>
        </w:rPr>
      </w:pPr>
      <w:r w:rsidRPr="008B3530">
        <w:rPr>
          <w:lang w:eastAsia="en-US"/>
        </w:rPr>
        <w:t xml:space="preserve">In this paper we discuss items related to </w:t>
      </w:r>
      <w:r>
        <w:rPr>
          <w:lang w:eastAsia="en-US"/>
        </w:rPr>
        <w:t>RAN4 operational efficiency</w:t>
      </w:r>
      <w:r w:rsidRPr="008B3530">
        <w:rPr>
          <w:lang w:eastAsia="en-US"/>
        </w:rPr>
        <w:t xml:space="preserve"> as defined in RAN4 chair guidance in [3]. We will discuss </w:t>
      </w:r>
      <w:r w:rsidR="000F27C6">
        <w:rPr>
          <w:lang w:eastAsia="en-US"/>
        </w:rPr>
        <w:t xml:space="preserve">the impact of </w:t>
      </w:r>
      <w:r w:rsidR="00621AA2">
        <w:rPr>
          <w:lang w:eastAsia="en-US"/>
        </w:rPr>
        <w:t xml:space="preserve">increased number of channel bandwidths and FFT size </w:t>
      </w:r>
      <w:r w:rsidR="000F27C6">
        <w:rPr>
          <w:lang w:eastAsia="en-US"/>
        </w:rPr>
        <w:t>to RAN4 work</w:t>
      </w:r>
      <w:r w:rsidR="008444F2">
        <w:rPr>
          <w:lang w:eastAsia="en-US"/>
        </w:rPr>
        <w:t xml:space="preserve"> and propose to study means to accommodate more volume of with scalable ways of working. We also </w:t>
      </w:r>
      <w:r w:rsidR="00873552">
        <w:rPr>
          <w:lang w:eastAsia="en-US"/>
        </w:rPr>
        <w:t>discuss CR handling practices and</w:t>
      </w:r>
      <w:r w:rsidR="00FC0708">
        <w:rPr>
          <w:lang w:eastAsia="en-US"/>
        </w:rPr>
        <w:t xml:space="preserve"> drafting tools in RAN4. We further discuss demodulation specification</w:t>
      </w:r>
      <w:r w:rsidR="00F43ACE">
        <w:rPr>
          <w:lang w:eastAsia="en-US"/>
        </w:rPr>
        <w:t xml:space="preserve"> and RRM specification</w:t>
      </w:r>
      <w:r w:rsidR="00FC0708">
        <w:rPr>
          <w:lang w:eastAsia="en-US"/>
        </w:rPr>
        <w:t xml:space="preserve"> </w:t>
      </w:r>
      <w:r w:rsidR="00F43ACE">
        <w:rPr>
          <w:lang w:eastAsia="en-US"/>
        </w:rPr>
        <w:t xml:space="preserve">structure and drafting principles for 6GR. </w:t>
      </w:r>
    </w:p>
    <w:p w14:paraId="0B31F1E6" w14:textId="6BFBF82D" w:rsidR="00F569B6" w:rsidRPr="00F569B6" w:rsidRDefault="38B17CF4" w:rsidP="0050421E">
      <w:pPr>
        <w:pStyle w:val="Heading1"/>
      </w:pPr>
      <w:r>
        <w:t>2.</w:t>
      </w:r>
      <w:r w:rsidR="008D616A">
        <w:tab/>
        <w:t>Discussion</w:t>
      </w:r>
    </w:p>
    <w:p w14:paraId="29C3304B" w14:textId="1BA9D4C4" w:rsidR="00BD5D6B" w:rsidRDefault="00BD5D6B" w:rsidP="00BD5D6B">
      <w:pPr>
        <w:pStyle w:val="Heading3"/>
      </w:pPr>
      <w:r>
        <w:t>2.</w:t>
      </w:r>
      <w:r w:rsidR="003B5792">
        <w:t>1</w:t>
      </w:r>
      <w:r>
        <w:tab/>
        <w:t xml:space="preserve">Impact of increasing channel BWs to RAN4 work </w:t>
      </w:r>
    </w:p>
    <w:p w14:paraId="40207B9F" w14:textId="514574BA" w:rsidR="00BD5D6B" w:rsidRDefault="00BD5D6B" w:rsidP="00BD5D6B">
      <w:pPr>
        <w:rPr>
          <w:lang w:eastAsia="en-US"/>
        </w:rPr>
      </w:pPr>
      <w:r w:rsidRPr="64F97EEA">
        <w:rPr>
          <w:lang w:eastAsia="en-US"/>
        </w:rPr>
        <w:t xml:space="preserve">For RAN4 proper plan to manage the </w:t>
      </w:r>
      <w:r w:rsidR="00A93826">
        <w:rPr>
          <w:lang w:eastAsia="en-US"/>
        </w:rPr>
        <w:t xml:space="preserve">increasing number of </w:t>
      </w:r>
      <w:r w:rsidRPr="64F97EEA">
        <w:rPr>
          <w:lang w:eastAsia="en-US"/>
        </w:rPr>
        <w:t>bandwidth</w:t>
      </w:r>
      <w:r>
        <w:rPr>
          <w:lang w:eastAsia="en-US"/>
        </w:rPr>
        <w:t>s</w:t>
      </w:r>
      <w:r w:rsidRPr="64F97EEA">
        <w:rPr>
          <w:lang w:eastAsia="en-US"/>
        </w:rPr>
        <w:t xml:space="preserve"> is important. In 5G for FR1, the maximum bandwidth is 100 MHz with 17 other bandwidths in Rel-20 there will be total of 19. If for example, the FR1 maximum bandwidth would be increased to </w:t>
      </w:r>
      <w:r w:rsidR="001F2AC3">
        <w:rPr>
          <w:lang w:eastAsia="en-US"/>
        </w:rPr>
        <w:t>4</w:t>
      </w:r>
      <w:r w:rsidRPr="64F97EEA">
        <w:rPr>
          <w:lang w:eastAsia="en-US"/>
        </w:rPr>
        <w:t xml:space="preserve">00 MHz and we assume all bandwidth configurations from Table 5.5A.1-1 up to </w:t>
      </w:r>
      <w:r w:rsidR="001A67F0">
        <w:rPr>
          <w:lang w:eastAsia="en-US"/>
        </w:rPr>
        <w:t xml:space="preserve">the defined maximum of </w:t>
      </w:r>
      <w:r w:rsidR="001F2AC3">
        <w:rPr>
          <w:lang w:eastAsia="en-US"/>
        </w:rPr>
        <w:t>3</w:t>
      </w:r>
      <w:r w:rsidR="001A67F0">
        <w:rPr>
          <w:lang w:eastAsia="en-US"/>
        </w:rPr>
        <w:t>2</w:t>
      </w:r>
      <w:r w:rsidRPr="64F97EEA">
        <w:rPr>
          <w:lang w:eastAsia="en-US"/>
        </w:rPr>
        <w:t>0 MHz are needed</w:t>
      </w:r>
      <w:r w:rsidR="001F2AC3">
        <w:rPr>
          <w:lang w:eastAsia="en-US"/>
        </w:rPr>
        <w:t xml:space="preserve"> and add </w:t>
      </w:r>
      <w:r w:rsidR="001A67F0">
        <w:rPr>
          <w:lang w:eastAsia="en-US"/>
        </w:rPr>
        <w:t>also</w:t>
      </w:r>
      <w:r w:rsidR="00A03D11">
        <w:rPr>
          <w:lang w:eastAsia="en-US"/>
        </w:rPr>
        <w:t xml:space="preserve"> 400 MHz</w:t>
      </w:r>
      <w:r w:rsidRPr="64F97EEA">
        <w:rPr>
          <w:lang w:eastAsia="en-US"/>
        </w:rPr>
        <w:t xml:space="preserve">, then we would add </w:t>
      </w:r>
      <w:r w:rsidR="00193880">
        <w:rPr>
          <w:lang w:eastAsia="en-US"/>
        </w:rPr>
        <w:t>at</w:t>
      </w:r>
      <w:r w:rsidR="001A67F0">
        <w:rPr>
          <w:lang w:eastAsia="en-US"/>
        </w:rPr>
        <w:t xml:space="preserve"> </w:t>
      </w:r>
      <w:r w:rsidR="00193880">
        <w:rPr>
          <w:lang w:eastAsia="en-US"/>
        </w:rPr>
        <w:t>least 15</w:t>
      </w:r>
      <w:r w:rsidRPr="64F97EEA">
        <w:rPr>
          <w:lang w:eastAsia="en-US"/>
        </w:rPr>
        <w:t xml:space="preserve"> new bandwidths (110, 115, 120, 130, 140, 150, 160, 170, 180, 190, 200</w:t>
      </w:r>
      <w:r w:rsidR="00A03D11">
        <w:rPr>
          <w:lang w:eastAsia="en-US"/>
        </w:rPr>
        <w:t xml:space="preserve">, 240, </w:t>
      </w:r>
      <w:r w:rsidR="00040EB5">
        <w:rPr>
          <w:lang w:eastAsia="en-US"/>
        </w:rPr>
        <w:t>300, 320 and 400</w:t>
      </w:r>
      <w:r w:rsidRPr="64F97EEA">
        <w:rPr>
          <w:lang w:eastAsia="en-US"/>
        </w:rPr>
        <w:t>) making the sum total 3</w:t>
      </w:r>
      <w:r w:rsidR="00193880">
        <w:rPr>
          <w:lang w:eastAsia="en-US"/>
        </w:rPr>
        <w:t>4</w:t>
      </w:r>
      <w:r w:rsidRPr="64F97EEA">
        <w:rPr>
          <w:lang w:eastAsia="en-US"/>
        </w:rPr>
        <w:t>.</w:t>
      </w:r>
    </w:p>
    <w:p w14:paraId="56F05D1E" w14:textId="2EB66E93" w:rsidR="00BD5D6B" w:rsidRDefault="00BD5D6B" w:rsidP="00BD5D6B">
      <w:pPr>
        <w:spacing w:line="259" w:lineRule="auto"/>
        <w:rPr>
          <w:lang w:eastAsia="en-US"/>
        </w:rPr>
      </w:pPr>
      <w:r w:rsidRPr="64F97EEA">
        <w:rPr>
          <w:lang w:eastAsia="en-US"/>
        </w:rPr>
        <w:t xml:space="preserve">LTE has 6 different bandwidths and one uplink waveform, one SCS and four modulations. 5G added one modulation and second waveform type and as mentioned above, more channel BWs and three SCS’s. Number of contiguous RB allocations for LTE is 18,668. For 5G it is 1,871,816, for 6G we expect it go over 5 Milj, possibly approaching </w:t>
      </w:r>
      <w:r w:rsidR="000F27C6">
        <w:rPr>
          <w:lang w:eastAsia="en-US"/>
        </w:rPr>
        <w:t>&gt;</w:t>
      </w:r>
      <w:r w:rsidRPr="64F97EEA">
        <w:rPr>
          <w:lang w:eastAsia="en-US"/>
        </w:rPr>
        <w:t>20 Milj</w:t>
      </w:r>
      <w:r w:rsidR="00887722">
        <w:rPr>
          <w:lang w:eastAsia="en-US"/>
        </w:rPr>
        <w:t>.</w:t>
      </w:r>
    </w:p>
    <w:p w14:paraId="026E91E1" w14:textId="69251E55" w:rsidR="00BD5D6B" w:rsidRDefault="00BD5D6B" w:rsidP="00BD5D6B">
      <w:pPr>
        <w:spacing w:line="259" w:lineRule="auto"/>
        <w:rPr>
          <w:b/>
          <w:bCs/>
          <w:lang w:eastAsia="en-US"/>
        </w:rPr>
      </w:pPr>
      <w:r w:rsidRPr="64F97EEA">
        <w:rPr>
          <w:b/>
          <w:bCs/>
          <w:lang w:eastAsia="en-US"/>
        </w:rPr>
        <w:t xml:space="preserve">Observation </w:t>
      </w:r>
      <w:r w:rsidR="003B5792">
        <w:rPr>
          <w:b/>
          <w:bCs/>
          <w:lang w:eastAsia="en-US"/>
        </w:rPr>
        <w:t>2.1-1</w:t>
      </w:r>
      <w:r w:rsidRPr="64F97EEA">
        <w:rPr>
          <w:b/>
          <w:bCs/>
          <w:lang w:eastAsia="en-US"/>
        </w:rPr>
        <w:t xml:space="preserve">: </w:t>
      </w:r>
      <w:r w:rsidR="005A083D">
        <w:rPr>
          <w:b/>
          <w:bCs/>
          <w:lang w:eastAsia="en-US"/>
        </w:rPr>
        <w:t>T</w:t>
      </w:r>
      <w:r w:rsidRPr="64F97EEA">
        <w:rPr>
          <w:b/>
          <w:bCs/>
          <w:lang w:eastAsia="en-US"/>
        </w:rPr>
        <w:t>he volume of specification work is expected to increase with 6G.</w:t>
      </w:r>
    </w:p>
    <w:p w14:paraId="628B75E4" w14:textId="51448D5E" w:rsidR="00164390" w:rsidRDefault="00164390" w:rsidP="00BD5D6B">
      <w:pPr>
        <w:spacing w:line="259" w:lineRule="auto"/>
        <w:rPr>
          <w:lang w:eastAsia="en-US"/>
        </w:rPr>
      </w:pPr>
      <w:r w:rsidRPr="64F97EEA">
        <w:rPr>
          <w:lang w:eastAsia="en-US"/>
        </w:rPr>
        <w:t>While complexity increase with generations is expected phenomena, with new channel bandwidths also the volume of technical</w:t>
      </w:r>
      <w:r>
        <w:rPr>
          <w:lang w:eastAsia="en-US"/>
        </w:rPr>
        <w:t xml:space="preserve"> </w:t>
      </w:r>
      <w:r w:rsidRPr="64F97EEA">
        <w:rPr>
          <w:lang w:eastAsia="en-US"/>
        </w:rPr>
        <w:t>work in RAN4 increases</w:t>
      </w:r>
      <w:r>
        <w:rPr>
          <w:lang w:eastAsia="en-US"/>
        </w:rPr>
        <w:t xml:space="preserve"> and new methods to ensure specification quality remains good and minimizes the need for maintenance phase corrections</w:t>
      </w:r>
      <w:r w:rsidRPr="64F97EEA">
        <w:rPr>
          <w:lang w:eastAsia="en-US"/>
        </w:rPr>
        <w:t xml:space="preserve">. </w:t>
      </w:r>
    </w:p>
    <w:p w14:paraId="66DF2001" w14:textId="1F5A340C" w:rsidR="00BD5D6B" w:rsidRDefault="00BD5D6B" w:rsidP="00BD5D6B">
      <w:pPr>
        <w:spacing w:line="259" w:lineRule="auto"/>
        <w:rPr>
          <w:lang w:eastAsia="en-US"/>
        </w:rPr>
      </w:pPr>
      <w:r w:rsidRPr="64F97EEA">
        <w:rPr>
          <w:lang w:eastAsia="en-US"/>
        </w:rPr>
        <w:t xml:space="preserve">This increase in volume will be felt mainly in two ways in RAN4 domain: </w:t>
      </w:r>
    </w:p>
    <w:p w14:paraId="18DBBA35" w14:textId="3DBD48E8" w:rsidR="00BD5D6B" w:rsidRDefault="00BD5D6B" w:rsidP="005A083D">
      <w:pPr>
        <w:pStyle w:val="B10"/>
        <w:rPr>
          <w:lang w:eastAsia="en-US"/>
        </w:rPr>
      </w:pPr>
      <w:r w:rsidRPr="64F97EEA">
        <w:rPr>
          <w:lang w:eastAsia="en-US"/>
        </w:rPr>
        <w:t xml:space="preserve">1) The specification will have more text, lines and columns in tables and with it likely also maintenance will </w:t>
      </w:r>
      <w:r w:rsidR="00A94E01">
        <w:rPr>
          <w:lang w:eastAsia="en-US"/>
        </w:rPr>
        <w:t>increase</w:t>
      </w:r>
      <w:r w:rsidRPr="64F97EEA">
        <w:rPr>
          <w:lang w:eastAsia="en-US"/>
        </w:rPr>
        <w:t>.</w:t>
      </w:r>
    </w:p>
    <w:p w14:paraId="408346B1" w14:textId="77777777" w:rsidR="00BD5D6B" w:rsidRDefault="00BD5D6B" w:rsidP="005A083D">
      <w:pPr>
        <w:pStyle w:val="B10"/>
        <w:rPr>
          <w:lang w:eastAsia="en-US"/>
        </w:rPr>
      </w:pPr>
      <w:r w:rsidRPr="64F97EEA">
        <w:rPr>
          <w:lang w:eastAsia="en-US"/>
        </w:rPr>
        <w:t>2) the work to conclude content to the tables will grow in volume. For example, AMPR simulations will be heavier in the back office teams and higher power simulation machines are needed and even reading the results will be take more time since for every channel BW and waveform a separate AMPR triangle is needed to be plotted.</w:t>
      </w:r>
    </w:p>
    <w:p w14:paraId="073BBA10" w14:textId="77777777" w:rsidR="00BD5D6B" w:rsidRDefault="00BD5D6B" w:rsidP="00BD5D6B">
      <w:pPr>
        <w:spacing w:line="259" w:lineRule="auto"/>
        <w:rPr>
          <w:lang w:eastAsia="en-US"/>
        </w:rPr>
      </w:pPr>
      <w:r w:rsidRPr="64F97EEA">
        <w:rPr>
          <w:lang w:eastAsia="en-US"/>
        </w:rPr>
        <w:lastRenderedPageBreak/>
        <w:t xml:space="preserve">To manage the work with no increase in TU’s RAN4 should study how to write specifications in scalable manner, for example such as the REFSENS specification is in </w:t>
      </w:r>
      <w:r w:rsidRPr="64F97EEA">
        <w:t>Table 7.3.2-1b with format dependent on N</w:t>
      </w:r>
      <w:r w:rsidRPr="64F97EEA">
        <w:rPr>
          <w:vertAlign w:val="subscript"/>
        </w:rPr>
        <w:t>RB</w:t>
      </w:r>
      <w:r w:rsidRPr="64F97EEA">
        <w:t xml:space="preserve">:  </w:t>
      </w:r>
      <w:r w:rsidRPr="64F97EEA">
        <w:rPr>
          <w:i/>
          <w:iCs/>
          <w:lang w:eastAsia="en-US"/>
        </w:rPr>
        <w:t>-95.1 + 10log10(N</w:t>
      </w:r>
      <w:r w:rsidRPr="64F97EEA">
        <w:rPr>
          <w:i/>
          <w:iCs/>
          <w:vertAlign w:val="subscript"/>
          <w:lang w:eastAsia="en-US"/>
        </w:rPr>
        <w:t>RB</w:t>
      </w:r>
      <w:r w:rsidRPr="64F97EEA">
        <w:rPr>
          <w:i/>
          <w:iCs/>
          <w:lang w:eastAsia="en-US"/>
        </w:rPr>
        <w:t>/24)</w:t>
      </w:r>
      <w:r w:rsidRPr="64F97EEA">
        <w:rPr>
          <w:lang w:eastAsia="en-US"/>
        </w:rPr>
        <w:t xml:space="preserve"> . This would help with the issue 1) above. </w:t>
      </w:r>
    </w:p>
    <w:p w14:paraId="195DAF69" w14:textId="1CB52FA7" w:rsidR="00BD5D6B" w:rsidRDefault="00BD5D6B" w:rsidP="00BD5D6B">
      <w:pPr>
        <w:spacing w:line="259" w:lineRule="auto"/>
        <w:rPr>
          <w:lang w:eastAsia="en-US"/>
        </w:rPr>
      </w:pPr>
      <w:r w:rsidRPr="64F97EEA">
        <w:rPr>
          <w:lang w:eastAsia="en-US"/>
        </w:rPr>
        <w:t xml:space="preserve">For 2) Similarly as for 1), if specifications can be made more dependent on the formulas by identifying dependencies from other parameters, the volume of specification tables could be reduced.  For reducing the volume of the back office work, RAN4 could focus more on identifying the worst case waveforms or conditions and specifying those, somewhat similar as RAN5 is testing MPR, by only defining the key waveforms. This can be done in two ways, defining discontinuities and specifying those and everything in between would inherit the requirement until the next discontinuity. However, this is how MPR is defined now by defining Inner, Outer and Edge waveforms. More radical simplification </w:t>
      </w:r>
      <w:r w:rsidR="00354E50" w:rsidRPr="64F97EEA">
        <w:rPr>
          <w:lang w:eastAsia="en-US"/>
        </w:rPr>
        <w:t>would</w:t>
      </w:r>
      <w:r w:rsidRPr="64F97EEA">
        <w:rPr>
          <w:lang w:eastAsia="en-US"/>
        </w:rPr>
        <w:t xml:space="preserve"> be for example only specifying the worst case situation </w:t>
      </w:r>
      <w:proofErr w:type="spellStart"/>
      <w:r w:rsidRPr="64F97EEA">
        <w:rPr>
          <w:lang w:eastAsia="en-US"/>
        </w:rPr>
        <w:t>e.g</w:t>
      </w:r>
      <w:proofErr w:type="spellEnd"/>
      <w:r w:rsidRPr="64F97EEA">
        <w:rPr>
          <w:lang w:eastAsia="en-US"/>
        </w:rPr>
        <w:t xml:space="preserve"> specifying the worst case waveform for each channel BW and specifying MPR for that. If there are waveforms that do not need that much MPR, it would be up to implementation to reduce back off depending on engineering effort available and implementation capability. </w:t>
      </w:r>
    </w:p>
    <w:p w14:paraId="5E369F32" w14:textId="7A29CC0D" w:rsidR="00BD5D6B" w:rsidRPr="00A3548A" w:rsidRDefault="00BD5D6B" w:rsidP="00BD5D6B">
      <w:pPr>
        <w:spacing w:line="259" w:lineRule="auto"/>
        <w:rPr>
          <w:b/>
          <w:bCs/>
          <w:lang w:eastAsia="en-US"/>
        </w:rPr>
      </w:pPr>
      <w:r>
        <w:rPr>
          <w:b/>
          <w:bCs/>
          <w:lang w:eastAsia="en-US"/>
        </w:rPr>
        <w:t xml:space="preserve">Proposal </w:t>
      </w:r>
      <w:r w:rsidR="00192CF9">
        <w:rPr>
          <w:b/>
          <w:bCs/>
          <w:lang w:eastAsia="en-US"/>
        </w:rPr>
        <w:t>2.1-1</w:t>
      </w:r>
      <w:r w:rsidRPr="64F97EEA">
        <w:rPr>
          <w:b/>
          <w:bCs/>
          <w:lang w:eastAsia="en-US"/>
        </w:rPr>
        <w:t>: RAN4 should study how to manage the growing number of channel bandwidths by simplifying the specifications</w:t>
      </w:r>
      <w:r>
        <w:rPr>
          <w:b/>
          <w:bCs/>
          <w:lang w:eastAsia="en-US"/>
        </w:rPr>
        <w:t xml:space="preserve"> an making them easily scalable</w:t>
      </w:r>
      <w:r w:rsidRPr="64F97EEA">
        <w:rPr>
          <w:b/>
          <w:bCs/>
          <w:lang w:eastAsia="en-US"/>
        </w:rPr>
        <w:t xml:space="preserve">. </w:t>
      </w:r>
    </w:p>
    <w:p w14:paraId="70863167" w14:textId="2379FEBA" w:rsidR="00BD5D6B" w:rsidRDefault="00BD5D6B" w:rsidP="00BD5D6B">
      <w:pPr>
        <w:pStyle w:val="Heading3"/>
      </w:pPr>
      <w:r>
        <w:t>2.</w:t>
      </w:r>
      <w:r w:rsidR="00D534CB">
        <w:t>2</w:t>
      </w:r>
      <w:r>
        <w:t xml:space="preserve"> </w:t>
      </w:r>
      <w:r w:rsidR="008F3268">
        <w:tab/>
      </w:r>
      <w:r>
        <w:t>Views on FFT increase and its impact on RAN4 requirements</w:t>
      </w:r>
    </w:p>
    <w:p w14:paraId="6722405D" w14:textId="77777777" w:rsidR="00BD5D6B" w:rsidRDefault="00BD5D6B" w:rsidP="00BD5D6B">
      <w:pPr>
        <w:rPr>
          <w:lang w:eastAsia="en-US"/>
        </w:rPr>
      </w:pPr>
      <w:r>
        <w:rPr>
          <w:lang w:eastAsia="en-US"/>
        </w:rPr>
        <w:t xml:space="preserve">FFT size increase from 4k to 8k and up to 16k have been discussed for 6G. Currently, the maximum number of sub-carriers in 3300 and in theory the highest number of RB’s is 275. Going up to 8k FFT would mean in theory 8128 subcarriers and 682 RB and 16k FFT means 16384 subcarriers and 1365 RBs. To follow the discussion in the channel BW section, the 1365 RBs means alone 931,612 different possible contiguous RB allocations.  </w:t>
      </w:r>
    </w:p>
    <w:p w14:paraId="280C2B0B" w14:textId="7B913F26" w:rsidR="00BD5D6B" w:rsidRDefault="007B7567" w:rsidP="00BD5D6B">
      <w:pPr>
        <w:rPr>
          <w:b/>
          <w:bCs/>
          <w:lang w:eastAsia="en-US"/>
        </w:rPr>
      </w:pPr>
      <w:r w:rsidRPr="008819EC">
        <w:rPr>
          <w:b/>
          <w:bCs/>
          <w:lang w:eastAsia="en-US"/>
        </w:rPr>
        <w:t>Observation</w:t>
      </w:r>
      <w:r w:rsidR="00D534CB">
        <w:rPr>
          <w:b/>
          <w:bCs/>
          <w:lang w:eastAsia="en-US"/>
        </w:rPr>
        <w:t xml:space="preserve"> 2.2-1</w:t>
      </w:r>
      <w:r w:rsidRPr="008819EC">
        <w:rPr>
          <w:b/>
          <w:bCs/>
          <w:lang w:eastAsia="en-US"/>
        </w:rPr>
        <w:t>:</w:t>
      </w:r>
      <w:r w:rsidR="00BD5D6B" w:rsidRPr="008819EC">
        <w:rPr>
          <w:b/>
          <w:bCs/>
          <w:lang w:eastAsia="en-US"/>
        </w:rPr>
        <w:t xml:space="preserve"> Similarly to adding more channel BWs in RAN4, increasing the FFT size will mean more volume of work in RAN4</w:t>
      </w:r>
    </w:p>
    <w:p w14:paraId="09E177F2" w14:textId="7D76878C" w:rsidR="00BD5D6B" w:rsidRDefault="00BD5D6B" w:rsidP="007B7567">
      <w:r w:rsidRPr="00377A07">
        <w:rPr>
          <w:lang w:eastAsia="en-US"/>
        </w:rPr>
        <w:t xml:space="preserve">For MPR and AMPR work </w:t>
      </w:r>
      <w:r>
        <w:rPr>
          <w:lang w:eastAsia="en-US"/>
        </w:rPr>
        <w:t xml:space="preserve">this means more simulation capacity is needed and same conclusion hold, RAN4 should study more efficient ways to work, simplify requirements and write them easily scalable manner.  </w:t>
      </w:r>
    </w:p>
    <w:p w14:paraId="05AE1EF9" w14:textId="55A085A3" w:rsidR="114387B8" w:rsidRDefault="114387B8" w:rsidP="73A41709">
      <w:pPr>
        <w:pStyle w:val="Heading3"/>
      </w:pPr>
      <w:r>
        <w:t>2.</w:t>
      </w:r>
      <w:r w:rsidR="00FB3583">
        <w:t>3</w:t>
      </w:r>
      <w:r>
        <w:tab/>
      </w:r>
      <w:r w:rsidR="5AE72408">
        <w:t>CR handling practices</w:t>
      </w:r>
      <w:r w:rsidR="7A2CEC53">
        <w:t xml:space="preserve"> and </w:t>
      </w:r>
      <w:r w:rsidR="00E34060">
        <w:t>technical</w:t>
      </w:r>
      <w:r w:rsidR="7A2CEC53">
        <w:t xml:space="preserve"> specifications</w:t>
      </w:r>
    </w:p>
    <w:p w14:paraId="07646019" w14:textId="10C49346" w:rsidR="5AE72408" w:rsidRDefault="5AE72408" w:rsidP="73A41709">
      <w:pPr>
        <w:rPr>
          <w:lang w:eastAsia="en-US"/>
        </w:rPr>
      </w:pPr>
      <w:r w:rsidRPr="73A41709">
        <w:rPr>
          <w:lang w:eastAsia="en-US"/>
        </w:rPr>
        <w:t>Once a release done, closed or</w:t>
      </w:r>
      <w:r w:rsidR="6E9893BC" w:rsidRPr="73A41709">
        <w:rPr>
          <w:lang w:eastAsia="en-US"/>
        </w:rPr>
        <w:t xml:space="preserve"> ASN.1 is frozen, then anyone can start implementing according to the requirements that are written in </w:t>
      </w:r>
      <w:r w:rsidR="130C36A5" w:rsidRPr="73A41709">
        <w:rPr>
          <w:lang w:eastAsia="en-US"/>
        </w:rPr>
        <w:t>the Technical</w:t>
      </w:r>
      <w:r w:rsidR="6E9893BC" w:rsidRPr="73A41709">
        <w:rPr>
          <w:lang w:eastAsia="en-US"/>
        </w:rPr>
        <w:t xml:space="preserve"> Specifications. </w:t>
      </w:r>
      <w:r w:rsidR="3EAE55A9" w:rsidRPr="73A41709">
        <w:rPr>
          <w:lang w:eastAsia="en-US"/>
        </w:rPr>
        <w:t xml:space="preserve">In an implementing companies, the Technical Specifications are read by many people in many teams </w:t>
      </w:r>
      <w:r w:rsidR="00E863F6" w:rsidRPr="73A41709">
        <w:rPr>
          <w:lang w:eastAsia="en-US"/>
        </w:rPr>
        <w:t>across</w:t>
      </w:r>
      <w:r w:rsidR="3EAE55A9" w:rsidRPr="73A41709">
        <w:rPr>
          <w:lang w:eastAsia="en-US"/>
        </w:rPr>
        <w:t xml:space="preserve"> </w:t>
      </w:r>
      <w:r w:rsidR="0ADF562D" w:rsidRPr="73A41709">
        <w:rPr>
          <w:lang w:eastAsia="en-US"/>
        </w:rPr>
        <w:t>hardware</w:t>
      </w:r>
      <w:r w:rsidR="3EAE55A9" w:rsidRPr="73A41709">
        <w:rPr>
          <w:lang w:eastAsia="en-US"/>
        </w:rPr>
        <w:t xml:space="preserve"> and software imp</w:t>
      </w:r>
      <w:r w:rsidR="0CCB4359" w:rsidRPr="73A41709">
        <w:rPr>
          <w:lang w:eastAsia="en-US"/>
        </w:rPr>
        <w:t xml:space="preserve">lementations. </w:t>
      </w:r>
      <w:r w:rsidR="0013684F">
        <w:rPr>
          <w:lang w:eastAsia="en-US"/>
        </w:rPr>
        <w:t>It is important that the specifications are correct and contain</w:t>
      </w:r>
      <w:r w:rsidR="00842E5E">
        <w:rPr>
          <w:lang w:eastAsia="en-US"/>
        </w:rPr>
        <w:t xml:space="preserve"> all the relevant requirements</w:t>
      </w:r>
      <w:r w:rsidR="00C31CBD">
        <w:rPr>
          <w:lang w:eastAsia="en-US"/>
        </w:rPr>
        <w:t xml:space="preserve"> and are clear what is required</w:t>
      </w:r>
      <w:r w:rsidR="00B23AEA">
        <w:rPr>
          <w:lang w:eastAsia="en-US"/>
        </w:rPr>
        <w:t xml:space="preserve">. </w:t>
      </w:r>
      <w:r w:rsidR="006A3F83">
        <w:rPr>
          <w:lang w:eastAsia="en-US"/>
        </w:rPr>
        <w:t>So called “</w:t>
      </w:r>
      <w:r w:rsidR="00C31CBD">
        <w:rPr>
          <w:lang w:eastAsia="en-US"/>
        </w:rPr>
        <w:t>gentleman’s</w:t>
      </w:r>
      <w:r w:rsidR="006A3F83">
        <w:rPr>
          <w:lang w:eastAsia="en-US"/>
        </w:rPr>
        <w:t xml:space="preserve"> agreements” have no more value </w:t>
      </w:r>
      <w:r w:rsidR="00C31CBD">
        <w:rPr>
          <w:lang w:eastAsia="en-US"/>
        </w:rPr>
        <w:t xml:space="preserve">once the implementation works have </w:t>
      </w:r>
      <w:r w:rsidR="00F80DE5">
        <w:rPr>
          <w:lang w:eastAsia="en-US"/>
        </w:rPr>
        <w:t>begun</w:t>
      </w:r>
      <w:r w:rsidR="00C31CBD">
        <w:rPr>
          <w:lang w:eastAsia="en-US"/>
        </w:rPr>
        <w:t xml:space="preserve"> since those do not get </w:t>
      </w:r>
      <w:r w:rsidR="008E7E06">
        <w:rPr>
          <w:lang w:eastAsia="en-US"/>
        </w:rPr>
        <w:t xml:space="preserve">transferred to implementation teams. </w:t>
      </w:r>
    </w:p>
    <w:p w14:paraId="680D5D66" w14:textId="72B5C9A3" w:rsidR="00173470" w:rsidRPr="005F783D" w:rsidRDefault="00173470" w:rsidP="73A41709">
      <w:pPr>
        <w:rPr>
          <w:b/>
          <w:bCs/>
          <w:lang w:eastAsia="en-US"/>
        </w:rPr>
      </w:pPr>
      <w:r w:rsidRPr="005F783D">
        <w:rPr>
          <w:b/>
          <w:bCs/>
          <w:lang w:eastAsia="en-US"/>
        </w:rPr>
        <w:t>Observation</w:t>
      </w:r>
      <w:r w:rsidR="00FB3583">
        <w:rPr>
          <w:b/>
          <w:bCs/>
          <w:lang w:eastAsia="en-US"/>
        </w:rPr>
        <w:t xml:space="preserve"> 2.3-1</w:t>
      </w:r>
      <w:r w:rsidRPr="005F783D">
        <w:rPr>
          <w:b/>
          <w:bCs/>
          <w:lang w:eastAsia="en-US"/>
        </w:rPr>
        <w:t xml:space="preserve">: Only normative requirements in Technical Specifications </w:t>
      </w:r>
      <w:r w:rsidR="006B7B2C" w:rsidRPr="005F783D">
        <w:rPr>
          <w:b/>
          <w:bCs/>
          <w:lang w:eastAsia="en-US"/>
        </w:rPr>
        <w:t>have impact on how features are implemented</w:t>
      </w:r>
    </w:p>
    <w:p w14:paraId="24353CC4" w14:textId="06246F10" w:rsidR="006B7B2C" w:rsidRDefault="00057C34" w:rsidP="73A41709">
      <w:pPr>
        <w:rPr>
          <w:lang w:eastAsia="en-US"/>
        </w:rPr>
      </w:pPr>
      <w:r w:rsidRPr="73A41709">
        <w:rPr>
          <w:lang w:eastAsia="en-US"/>
        </w:rPr>
        <w:t>CR is a change request</w:t>
      </w:r>
      <w:r w:rsidR="00092208">
        <w:rPr>
          <w:lang w:eastAsia="en-US"/>
        </w:rPr>
        <w:t xml:space="preserve"> to these requirements. </w:t>
      </w:r>
      <w:r w:rsidR="00397677">
        <w:rPr>
          <w:lang w:eastAsia="en-US"/>
        </w:rPr>
        <w:t xml:space="preserve">Ideally there should not be any changes since </w:t>
      </w:r>
      <w:r w:rsidR="00FF390D">
        <w:rPr>
          <w:lang w:eastAsia="en-US"/>
        </w:rPr>
        <w:t xml:space="preserve">it is impossible to control or know at what stage individual </w:t>
      </w:r>
      <w:r w:rsidR="0000395E">
        <w:rPr>
          <w:lang w:eastAsia="en-US"/>
        </w:rPr>
        <w:t>companies’</w:t>
      </w:r>
      <w:r w:rsidR="00FF390D">
        <w:rPr>
          <w:lang w:eastAsia="en-US"/>
        </w:rPr>
        <w:t xml:space="preserve"> implementation is at the time of the Change Request is made. </w:t>
      </w:r>
      <w:r w:rsidR="005A103C">
        <w:rPr>
          <w:lang w:eastAsia="en-US"/>
        </w:rPr>
        <w:t xml:space="preserve">It also impossible to assume that </w:t>
      </w:r>
      <w:r w:rsidR="007A7462">
        <w:rPr>
          <w:lang w:eastAsia="en-US"/>
        </w:rPr>
        <w:t xml:space="preserve">the feature would be written without errors so </w:t>
      </w:r>
      <w:r w:rsidR="0000395E">
        <w:rPr>
          <w:lang w:eastAsia="en-US"/>
        </w:rPr>
        <w:t xml:space="preserve">corrections must be allowed </w:t>
      </w:r>
      <w:r w:rsidR="003D5124">
        <w:rPr>
          <w:lang w:eastAsia="en-US"/>
        </w:rPr>
        <w:t xml:space="preserve">but </w:t>
      </w:r>
      <w:r w:rsidR="00BC7860">
        <w:rPr>
          <w:lang w:eastAsia="en-US"/>
        </w:rPr>
        <w:t xml:space="preserve">a good practice would be to bring a discussion paper in one meeting and then only a CR in the next to allow for other companies to check the status of their implementation. </w:t>
      </w:r>
    </w:p>
    <w:p w14:paraId="366529BB" w14:textId="75BD2663" w:rsidR="00BC7860" w:rsidRPr="005F783D" w:rsidRDefault="00BC7860" w:rsidP="73A41709">
      <w:pPr>
        <w:rPr>
          <w:b/>
          <w:bCs/>
          <w:lang w:eastAsia="en-US"/>
        </w:rPr>
      </w:pPr>
      <w:r w:rsidRPr="005F783D">
        <w:rPr>
          <w:b/>
          <w:bCs/>
          <w:lang w:eastAsia="en-US"/>
        </w:rPr>
        <w:t>Observation</w:t>
      </w:r>
      <w:r w:rsidR="00FB3583">
        <w:rPr>
          <w:b/>
          <w:bCs/>
          <w:lang w:eastAsia="en-US"/>
        </w:rPr>
        <w:t xml:space="preserve"> 2.3-2</w:t>
      </w:r>
      <w:r w:rsidRPr="005F783D">
        <w:rPr>
          <w:b/>
          <w:bCs/>
          <w:lang w:eastAsia="en-US"/>
        </w:rPr>
        <w:t xml:space="preserve">: </w:t>
      </w:r>
      <w:r w:rsidR="00DF16BD" w:rsidRPr="005F783D">
        <w:rPr>
          <w:b/>
          <w:bCs/>
          <w:lang w:eastAsia="en-US"/>
        </w:rPr>
        <w:t xml:space="preserve">proper time should be allowed for companies to check the CR and their implementation status before rushing to </w:t>
      </w:r>
      <w:r w:rsidR="009712F3" w:rsidRPr="005F783D">
        <w:rPr>
          <w:b/>
          <w:bCs/>
          <w:lang w:eastAsia="en-US"/>
        </w:rPr>
        <w:t xml:space="preserve">agree Change Request. </w:t>
      </w:r>
    </w:p>
    <w:p w14:paraId="5CC9ADD9" w14:textId="0AD43BD2" w:rsidR="009712F3" w:rsidRDefault="009712F3" w:rsidP="73A41709">
      <w:pPr>
        <w:rPr>
          <w:lang w:eastAsia="en-US"/>
        </w:rPr>
      </w:pPr>
      <w:r>
        <w:rPr>
          <w:lang w:eastAsia="en-US"/>
        </w:rPr>
        <w:lastRenderedPageBreak/>
        <w:t xml:space="preserve">It also should be noted that in many cases when a company </w:t>
      </w:r>
      <w:r w:rsidR="001153E5">
        <w:rPr>
          <w:lang w:eastAsia="en-US"/>
        </w:rPr>
        <w:t xml:space="preserve">submits a correction CR that they may consider being editorial or not impacting the actual requirements it may be a change in requirement for </w:t>
      </w:r>
      <w:r w:rsidR="003F6545">
        <w:rPr>
          <w:lang w:eastAsia="en-US"/>
        </w:rPr>
        <w:t>another</w:t>
      </w:r>
      <w:r w:rsidR="001153E5">
        <w:rPr>
          <w:lang w:eastAsia="en-US"/>
        </w:rPr>
        <w:t xml:space="preserve"> company. This situation is not ideal since understanding among participating companies of the requirements should be common but in many cases this might not be true and reason is poor </w:t>
      </w:r>
      <w:r w:rsidR="00CA1F46">
        <w:rPr>
          <w:lang w:eastAsia="en-US"/>
        </w:rPr>
        <w:t>‘</w:t>
      </w:r>
      <w:proofErr w:type="spellStart"/>
      <w:r w:rsidR="001153E5">
        <w:rPr>
          <w:lang w:eastAsia="en-US"/>
        </w:rPr>
        <w:t>specmanship</w:t>
      </w:r>
      <w:proofErr w:type="spellEnd"/>
      <w:r w:rsidR="00CA1F46">
        <w:rPr>
          <w:lang w:eastAsia="en-US"/>
        </w:rPr>
        <w:t>’</w:t>
      </w:r>
      <w:r w:rsidR="001153E5">
        <w:rPr>
          <w:lang w:eastAsia="en-US"/>
        </w:rPr>
        <w:t>.</w:t>
      </w:r>
    </w:p>
    <w:p w14:paraId="1E3A0D80" w14:textId="50CD4712" w:rsidR="00D57499" w:rsidRPr="00D57499" w:rsidRDefault="001153E5" w:rsidP="00D57499">
      <w:pPr>
        <w:rPr>
          <w:lang w:eastAsia="en-US"/>
        </w:rPr>
      </w:pPr>
      <w:r w:rsidRPr="005F783D">
        <w:rPr>
          <w:b/>
        </w:rPr>
        <w:t>Observation</w:t>
      </w:r>
      <w:r w:rsidR="00FB3583">
        <w:rPr>
          <w:b/>
        </w:rPr>
        <w:t xml:space="preserve"> 2.3-3</w:t>
      </w:r>
      <w:r w:rsidRPr="005F783D">
        <w:rPr>
          <w:b/>
        </w:rPr>
        <w:t xml:space="preserve">: </w:t>
      </w:r>
      <w:r w:rsidR="00246032" w:rsidRPr="005F783D">
        <w:rPr>
          <w:b/>
        </w:rPr>
        <w:t>Well written r</w:t>
      </w:r>
      <w:r w:rsidRPr="005F783D">
        <w:rPr>
          <w:b/>
        </w:rPr>
        <w:t>equirements</w:t>
      </w:r>
      <w:r w:rsidR="00246032" w:rsidRPr="005F783D">
        <w:rPr>
          <w:b/>
        </w:rPr>
        <w:t xml:space="preserve"> do not</w:t>
      </w:r>
      <w:r w:rsidR="005F783D" w:rsidRPr="005F783D">
        <w:rPr>
          <w:b/>
        </w:rPr>
        <w:t xml:space="preserve"> leave room for </w:t>
      </w:r>
      <w:r w:rsidR="00D57499" w:rsidRPr="00B63AC3">
        <w:rPr>
          <w:lang w:eastAsia="en-US"/>
        </w:rPr>
        <w:t>i</w:t>
      </w:r>
      <w:r w:rsidR="005F783D" w:rsidRPr="00B63AC3">
        <w:rPr>
          <w:lang w:eastAsia="en-US"/>
        </w:rPr>
        <w:t>n</w:t>
      </w:r>
      <w:r w:rsidR="005F783D" w:rsidRPr="005F783D">
        <w:rPr>
          <w:b/>
          <w:bCs/>
          <w:lang w:eastAsia="en-US"/>
        </w:rPr>
        <w:t>terpretations</w:t>
      </w:r>
      <w:r w:rsidR="005F783D" w:rsidRPr="005F783D">
        <w:rPr>
          <w:b/>
        </w:rPr>
        <w:t xml:space="preserve"> of the underlying functional requirement</w:t>
      </w:r>
    </w:p>
    <w:p w14:paraId="64881F23" w14:textId="6DE96E0D" w:rsidR="006D1D6C" w:rsidRPr="006D1D6C" w:rsidRDefault="006D1D6C" w:rsidP="00B63AC3">
      <w:pPr>
        <w:pStyle w:val="Heading3"/>
        <w:ind w:left="0" w:firstLine="0"/>
        <w:rPr>
          <w:lang w:val="en-US"/>
        </w:rPr>
      </w:pPr>
      <w:r>
        <w:rPr>
          <w:lang w:val="en-US"/>
        </w:rPr>
        <w:t>2.</w:t>
      </w:r>
      <w:r w:rsidR="00FB4293">
        <w:rPr>
          <w:lang w:val="en-US"/>
        </w:rPr>
        <w:t>4</w:t>
      </w:r>
      <w:r>
        <w:rPr>
          <w:lang w:val="en-US"/>
        </w:rPr>
        <w:t xml:space="preserve"> </w:t>
      </w:r>
      <w:r>
        <w:rPr>
          <w:lang w:val="en-US"/>
        </w:rPr>
        <w:tab/>
      </w:r>
      <w:r w:rsidRPr="006D1D6C">
        <w:rPr>
          <w:lang w:val="en-US"/>
        </w:rPr>
        <w:t>Modernization of specification drafting tools in RAN4</w:t>
      </w:r>
    </w:p>
    <w:p w14:paraId="551F66DE" w14:textId="6A2A74EA" w:rsidR="006D1D6C" w:rsidRPr="006D1D6C" w:rsidRDefault="006D1D6C" w:rsidP="006D1D6C">
      <w:pPr>
        <w:rPr>
          <w:lang w:val="en-US" w:eastAsia="en-US"/>
        </w:rPr>
      </w:pPr>
      <w:r w:rsidRPr="006D1D6C">
        <w:rPr>
          <w:lang w:val="en-US" w:eastAsia="en-US"/>
        </w:rPr>
        <w:t xml:space="preserve">The ongoing </w:t>
      </w:r>
      <w:r w:rsidR="006B6FD2">
        <w:rPr>
          <w:lang w:val="en-US" w:eastAsia="en-US"/>
        </w:rPr>
        <w:t xml:space="preserve">Study Item on </w:t>
      </w:r>
      <w:r w:rsidR="00090AED" w:rsidRPr="00B63AC3">
        <w:rPr>
          <w:i/>
          <w:lang w:val="en-US" w:eastAsia="en-US"/>
        </w:rPr>
        <w:t>“</w:t>
      </w:r>
      <w:r w:rsidR="00090AED" w:rsidRPr="00B63AC3">
        <w:rPr>
          <w:i/>
        </w:rPr>
        <w:t xml:space="preserve">6G Specification Modernisation” </w:t>
      </w:r>
      <w:r w:rsidR="00090AED">
        <w:rPr>
          <w:lang w:val="en-US" w:eastAsia="en-US"/>
        </w:rPr>
        <w:t xml:space="preserve">to be </w:t>
      </w:r>
      <w:r w:rsidR="006B6FD2">
        <w:rPr>
          <w:lang w:val="en-US" w:eastAsia="en-US"/>
        </w:rPr>
        <w:t xml:space="preserve">the </w:t>
      </w:r>
      <w:r w:rsidRPr="006D1D6C">
        <w:rPr>
          <w:lang w:val="en-US" w:eastAsia="en-US"/>
        </w:rPr>
        <w:t xml:space="preserve">captured </w:t>
      </w:r>
      <w:r w:rsidR="00EF0082">
        <w:rPr>
          <w:lang w:val="en-US" w:eastAsia="en-US"/>
        </w:rPr>
        <w:t xml:space="preserve">in </w:t>
      </w:r>
      <w:r w:rsidR="00090AED">
        <w:rPr>
          <w:lang w:val="en-US" w:eastAsia="en-US"/>
        </w:rPr>
        <w:t xml:space="preserve">3GPP </w:t>
      </w:r>
      <w:r w:rsidRPr="006D1D6C">
        <w:rPr>
          <w:lang w:val="en-US" w:eastAsia="en-US"/>
        </w:rPr>
        <w:t xml:space="preserve">TR 21.802 </w:t>
      </w:r>
      <w:r>
        <w:rPr>
          <w:lang w:val="en-US" w:eastAsia="en-US"/>
        </w:rPr>
        <w:t xml:space="preserve">is expected </w:t>
      </w:r>
      <w:r w:rsidR="00090AED">
        <w:rPr>
          <w:lang w:val="en-US" w:eastAsia="en-US"/>
        </w:rPr>
        <w:t xml:space="preserve">to </w:t>
      </w:r>
      <w:r w:rsidRPr="006D1D6C">
        <w:rPr>
          <w:lang w:val="en-US" w:eastAsia="en-US"/>
        </w:rPr>
        <w:t xml:space="preserve">shift how 3GPP specifications may be authored and maintained in the 6G era. TSG SA </w:t>
      </w:r>
      <w:r w:rsidR="00090AED">
        <w:rPr>
          <w:lang w:val="en-US" w:eastAsia="en-US"/>
        </w:rPr>
        <w:t xml:space="preserve">is </w:t>
      </w:r>
      <w:r w:rsidRPr="006D1D6C">
        <w:rPr>
          <w:lang w:val="en-US" w:eastAsia="en-US"/>
        </w:rPr>
        <w:t xml:space="preserve">leading the initiative, </w:t>
      </w:r>
      <w:r w:rsidR="00090AED">
        <w:rPr>
          <w:lang w:val="en-US" w:eastAsia="en-US"/>
        </w:rPr>
        <w:t xml:space="preserve">and </w:t>
      </w:r>
      <w:r w:rsidRPr="006D1D6C">
        <w:rPr>
          <w:lang w:val="en-US" w:eastAsia="en-US"/>
        </w:rPr>
        <w:t>the study explores transitioning from traditional Word-based workflows to more agile formats like Markdown, supported by Git-based version control</w:t>
      </w:r>
      <w:r w:rsidR="00090AED">
        <w:rPr>
          <w:lang w:val="en-US" w:eastAsia="en-US"/>
        </w:rPr>
        <w:t>.</w:t>
      </w:r>
    </w:p>
    <w:p w14:paraId="30BA431E" w14:textId="3101F5BF" w:rsidR="006D1D6C" w:rsidRPr="006D1D6C" w:rsidRDefault="006D1D6C" w:rsidP="006D1D6C">
      <w:pPr>
        <w:rPr>
          <w:lang w:val="en-US" w:eastAsia="en-US"/>
        </w:rPr>
      </w:pPr>
      <w:r w:rsidRPr="006D1D6C">
        <w:rPr>
          <w:lang w:val="en-US" w:eastAsia="en-US"/>
        </w:rPr>
        <w:t xml:space="preserve">This modernization effort aims to streamline spec evolution, improve traceability, and reduce editorial overhead. For RAN4, these changes could significantly enhance operational efficiency, especially in </w:t>
      </w:r>
      <w:r w:rsidR="00090AED">
        <w:rPr>
          <w:lang w:val="en-US" w:eastAsia="en-US"/>
        </w:rPr>
        <w:t xml:space="preserve">simplifying contribution writing, technical specification drafting, </w:t>
      </w:r>
      <w:r w:rsidRPr="006D1D6C">
        <w:rPr>
          <w:lang w:val="en-US" w:eastAsia="en-US"/>
        </w:rPr>
        <w:t>change requests</w:t>
      </w:r>
      <w:r w:rsidR="00090AED">
        <w:rPr>
          <w:lang w:val="en-US" w:eastAsia="en-US"/>
        </w:rPr>
        <w:t xml:space="preserve"> handling and maintenance</w:t>
      </w:r>
      <w:r w:rsidRPr="006D1D6C">
        <w:rPr>
          <w:lang w:val="en-US" w:eastAsia="en-US"/>
        </w:rPr>
        <w:t xml:space="preserve">. Early engagement from RAN4 stakeholders is essential to ensure compatibility and influence tooling decisions that align with the group's needs. As the project progresses, cross-WG collaboration </w:t>
      </w:r>
      <w:r w:rsidR="00090AED">
        <w:rPr>
          <w:lang w:val="en-US" w:eastAsia="en-US"/>
        </w:rPr>
        <w:t xml:space="preserve">can help </w:t>
      </w:r>
      <w:r w:rsidRPr="006D1D6C">
        <w:rPr>
          <w:lang w:val="en-US" w:eastAsia="en-US"/>
        </w:rPr>
        <w:t>shaping a future-proof specification ecosystem.</w:t>
      </w:r>
    </w:p>
    <w:p w14:paraId="2FCAF5DF" w14:textId="4A6E641B" w:rsidR="00B8704F" w:rsidRDefault="006D1D6C" w:rsidP="006D1D6C">
      <w:pPr>
        <w:rPr>
          <w:b/>
          <w:bCs/>
          <w:lang w:val="en-US" w:eastAsia="en-US"/>
        </w:rPr>
      </w:pPr>
      <w:r w:rsidRPr="00B63AC3">
        <w:rPr>
          <w:b/>
          <w:lang w:val="en-US" w:eastAsia="en-US"/>
        </w:rPr>
        <w:t>Proposal</w:t>
      </w:r>
      <w:r w:rsidR="00FB4293">
        <w:rPr>
          <w:b/>
          <w:lang w:val="en-US" w:eastAsia="en-US"/>
        </w:rPr>
        <w:t xml:space="preserve"> 2.4-1</w:t>
      </w:r>
      <w:r w:rsidRPr="00B63AC3">
        <w:rPr>
          <w:b/>
          <w:lang w:val="en-US" w:eastAsia="en-US"/>
        </w:rPr>
        <w:t xml:space="preserve">: RAN4 should </w:t>
      </w:r>
      <w:r w:rsidR="00090AED" w:rsidRPr="00B63AC3">
        <w:rPr>
          <w:b/>
          <w:lang w:val="en-US" w:eastAsia="en-US"/>
        </w:rPr>
        <w:t xml:space="preserve">consider </w:t>
      </w:r>
      <w:r w:rsidRPr="00B63AC3">
        <w:rPr>
          <w:b/>
          <w:lang w:val="en-US" w:eastAsia="en-US"/>
        </w:rPr>
        <w:t>Markdown-based spec authoring with Git integration, aligning with TR 21.802 to evaluate editorial and operational benefits.</w:t>
      </w:r>
    </w:p>
    <w:p w14:paraId="39F0AF9E" w14:textId="650DBE9F" w:rsidR="00F8728D" w:rsidRDefault="00F64237" w:rsidP="005071B5">
      <w:pPr>
        <w:pStyle w:val="Heading3"/>
        <w:rPr>
          <w:lang w:val="en-US"/>
        </w:rPr>
      </w:pPr>
      <w:r>
        <w:rPr>
          <w:lang w:val="en-US"/>
        </w:rPr>
        <w:t>2.</w:t>
      </w:r>
      <w:r w:rsidR="00FB4293">
        <w:rPr>
          <w:lang w:val="en-US"/>
        </w:rPr>
        <w:t>5</w:t>
      </w:r>
      <w:r>
        <w:rPr>
          <w:lang w:val="en-US"/>
        </w:rPr>
        <w:tab/>
      </w:r>
      <w:r w:rsidR="00B56D4B">
        <w:rPr>
          <w:lang w:val="en-US"/>
        </w:rPr>
        <w:t>Structure and Drafting Principles for</w:t>
      </w:r>
      <w:r w:rsidR="008D21B4">
        <w:rPr>
          <w:lang w:val="en-US"/>
        </w:rPr>
        <w:t xml:space="preserve"> TS 38.101-4</w:t>
      </w:r>
    </w:p>
    <w:p w14:paraId="0F8B3817" w14:textId="77777777" w:rsidR="00F8728D" w:rsidRPr="00D1270C" w:rsidRDefault="00F8728D" w:rsidP="00F8728D">
      <w:r w:rsidRPr="00D1270C">
        <w:t>We recommend RAN4 to review how applicability rules are currently handled in RAN4 demod</w:t>
      </w:r>
      <w:r>
        <w:t>ulation</w:t>
      </w:r>
      <w:r w:rsidRPr="00D1270C">
        <w:t xml:space="preserve"> specifications (i.e., 38.101-4 for UE demod</w:t>
      </w:r>
      <w:r>
        <w:t>ulation</w:t>
      </w:r>
      <w:r w:rsidRPr="00D1270C">
        <w:t xml:space="preserve"> and 38.104/38.141-1/38.141-2 for BS demod</w:t>
      </w:r>
      <w:r>
        <w:t>ulation</w:t>
      </w:r>
      <w:r w:rsidRPr="00D1270C">
        <w:t>) and to identify opportunities for improvement in 6G. This specification, while comprehensive, presents challenges in clarity and consistency that affect both interpretation and implementation.</w:t>
      </w:r>
    </w:p>
    <w:p w14:paraId="6AF3821A" w14:textId="77777777" w:rsidR="00F8728D" w:rsidRPr="00D1270C" w:rsidRDefault="00F8728D" w:rsidP="00F8728D">
      <w:r w:rsidRPr="00D1270C">
        <w:t>One key observation is that the applicability of tests varies significantly across device types. Some devices are assigned dedicated sections, others are embedded within broader clauses, and some rely on tables that differ in structure and completeness. This fragmented approach makes it difficult for stakeholders to quickly determine which tests apply to which configurations, especially as new device categories emerge.</w:t>
      </w:r>
    </w:p>
    <w:p w14:paraId="1AD2FEAF" w14:textId="77777777" w:rsidR="00F8728D" w:rsidRPr="00D1270C" w:rsidRDefault="00F8728D" w:rsidP="00F8728D">
      <w:r w:rsidRPr="00D1270C">
        <w:t>Some applicability rules are structured by antenna configuration, others by optional features, and many are buried in tables with conditional logic. This complexity underscores the need for a harmonized and streamlined approach</w:t>
      </w:r>
    </w:p>
    <w:p w14:paraId="28564F01" w14:textId="77777777" w:rsidR="00F8728D" w:rsidRPr="007A047B" w:rsidRDefault="00F8728D" w:rsidP="00F8728D">
      <w:pPr>
        <w:rPr>
          <w:b/>
          <w:bCs/>
        </w:rPr>
      </w:pPr>
      <w:r w:rsidRPr="005575C9">
        <w:rPr>
          <w:b/>
          <w:bCs/>
        </w:rPr>
        <w:t>Observation</w:t>
      </w:r>
      <w:r w:rsidR="00FB4293" w:rsidRPr="005575C9">
        <w:rPr>
          <w:b/>
          <w:bCs/>
        </w:rPr>
        <w:t xml:space="preserve"> 2.5-1</w:t>
      </w:r>
      <w:r w:rsidRPr="005575C9">
        <w:rPr>
          <w:b/>
          <w:bCs/>
        </w:rPr>
        <w:t xml:space="preserve">: </w:t>
      </w:r>
      <w:r w:rsidRPr="007A047B">
        <w:rPr>
          <w:b/>
          <w:bCs/>
        </w:rPr>
        <w:t xml:space="preserve">The current structure of applicability rules in TS 38.101-4 is fragmented and sometimes inconsistent across device types, making it difficult for stakeholders to interpret test requirements reliably, especially for different types of devices. </w:t>
      </w:r>
    </w:p>
    <w:p w14:paraId="15CCD431" w14:textId="77777777" w:rsidR="00F8728D" w:rsidRPr="00D1270C" w:rsidRDefault="00F8728D" w:rsidP="00F8728D">
      <w:r w:rsidRPr="00D1270C">
        <w:t>There are many examples of the inconsistencies above, but we can limit the list to a glaring example, regarding the applicability of demodulation requirements for 2RX UEs. Indeed, this is presented in a way that reveals inconsistencies that complicate understanding.</w:t>
      </w:r>
    </w:p>
    <w:p w14:paraId="6DF51A83" w14:textId="77777777" w:rsidR="00F8728D" w:rsidRPr="00D1270C" w:rsidRDefault="00F8728D" w:rsidP="00F8728D">
      <w:r w:rsidRPr="00D1270C">
        <w:t>In Table 5.1.1.2-1, TS 38.101-4, the specification states that for UEs supporting only 2RX, “all tests in Clause 5.2.2” apply. This suggests a unified and complete applicability of demodulation requirements for 2RX devices.</w:t>
      </w:r>
    </w:p>
    <w:p w14:paraId="6F071510" w14:textId="764E4257" w:rsidR="00F8728D" w:rsidRPr="00D1270C" w:rsidRDefault="00F8728D" w:rsidP="00F8728D">
      <w:r w:rsidRPr="00D1270C">
        <w:t xml:space="preserve">However, Clause 5.2.2 is subdivided into multiple subclauses each addressing different requirements and configurations. Some of these subclauses include tests that are only relevant when certain features are </w:t>
      </w:r>
      <w:r w:rsidR="005575C9" w:rsidRPr="00D1270C">
        <w:t>signalled</w:t>
      </w:r>
      <w:r w:rsidRPr="00D1270C">
        <w:t xml:space="preserve"> (e.g., enhanced receiver types, HST-SFN, HST-DPS, </w:t>
      </w:r>
      <w:proofErr w:type="spellStart"/>
      <w:r w:rsidRPr="00D1270C">
        <w:t>RedCap</w:t>
      </w:r>
      <w:proofErr w:type="spellEnd"/>
      <w:r w:rsidRPr="00D1270C">
        <w:t>), which are not necessarily supported by all 2RX UEs and are reported via additional applicability tables or conditions.</w:t>
      </w:r>
    </w:p>
    <w:p w14:paraId="7DC00237" w14:textId="77777777" w:rsidR="00F8728D" w:rsidRPr="00D1270C" w:rsidRDefault="00F8728D" w:rsidP="00F8728D">
      <w:r w:rsidRPr="00D1270C">
        <w:lastRenderedPageBreak/>
        <w:t xml:space="preserve">This fragmented structure means that the reader needs to manually verify each subclause and its conditional logic. So, applicability is not centralized, and the reader needs to navigate multiple layers of specification to determine the correct test scope. </w:t>
      </w:r>
    </w:p>
    <w:p w14:paraId="38151EC6" w14:textId="77777777" w:rsidR="00F8728D" w:rsidRPr="007A047B" w:rsidRDefault="00F8728D" w:rsidP="00F8728D">
      <w:pPr>
        <w:rPr>
          <w:b/>
          <w:bCs/>
        </w:rPr>
      </w:pPr>
      <w:r w:rsidRPr="005575C9">
        <w:rPr>
          <w:b/>
          <w:bCs/>
        </w:rPr>
        <w:t>Proposal</w:t>
      </w:r>
      <w:r w:rsidR="00FB4293" w:rsidRPr="005575C9">
        <w:rPr>
          <w:b/>
          <w:bCs/>
        </w:rPr>
        <w:t xml:space="preserve"> 2.5-1</w:t>
      </w:r>
      <w:r w:rsidRPr="005575C9">
        <w:rPr>
          <w:b/>
          <w:bCs/>
        </w:rPr>
        <w:t xml:space="preserve">: </w:t>
      </w:r>
      <w:r w:rsidRPr="007A047B">
        <w:rPr>
          <w:b/>
          <w:bCs/>
        </w:rPr>
        <w:t>RAN4 should discuss improving Demodulation spec in 6GR by replacing broad applicability statements with clear, centralized mappings of test coverage. This would enhance consistency and reduce ambiguity across device types and configurations.</w:t>
      </w:r>
    </w:p>
    <w:p w14:paraId="152C69F6" w14:textId="77777777" w:rsidR="00F8728D" w:rsidRPr="00C32C82" w:rsidRDefault="00F8728D" w:rsidP="00F8728D">
      <w:r w:rsidRPr="00D1270C">
        <w:t>With the emergence of new application scenarios, novel device types are being introduced, and RAN4 is actively defining their corresponding performance requirements. It is important to recognize that while some devices may support TN functionality, others may operate independently without supporting it. Therefore, when determining test applicability across device types, it is essential to consider both the device capabilities and their intended application scenarios. Specifically, for devices that do not support legacy TN, test applicability should be structured to avoid dependence on legacy TN test cases.</w:t>
      </w:r>
    </w:p>
    <w:p w14:paraId="1A09B592" w14:textId="40F1F818" w:rsidR="004063B3" w:rsidRPr="007A047B" w:rsidRDefault="00F8728D" w:rsidP="00881769">
      <w:pPr>
        <w:rPr>
          <w:b/>
          <w:bCs/>
        </w:rPr>
      </w:pPr>
      <w:r w:rsidRPr="005575C9">
        <w:rPr>
          <w:b/>
          <w:bCs/>
        </w:rPr>
        <w:t>Observation</w:t>
      </w:r>
      <w:r w:rsidR="00FB4293" w:rsidRPr="005575C9">
        <w:rPr>
          <w:b/>
          <w:bCs/>
        </w:rPr>
        <w:t xml:space="preserve"> 2.5-2</w:t>
      </w:r>
      <w:r w:rsidRPr="005575C9">
        <w:rPr>
          <w:b/>
          <w:bCs/>
        </w:rPr>
        <w:t xml:space="preserve">: </w:t>
      </w:r>
      <w:r w:rsidRPr="007A047B">
        <w:rPr>
          <w:b/>
          <w:bCs/>
        </w:rPr>
        <w:t>RAN4 is defining performance requirements for emerging device types, recognizing that some devices may support TN functionality while others may operate independently without supporting it.</w:t>
      </w:r>
    </w:p>
    <w:p w14:paraId="29321132" w14:textId="19AD2C3A" w:rsidR="005071B5" w:rsidRDefault="00F8728D" w:rsidP="00881769">
      <w:pPr>
        <w:rPr>
          <w:lang w:val="en-US"/>
        </w:rPr>
      </w:pPr>
      <w:r w:rsidRPr="005575C9">
        <w:rPr>
          <w:b/>
          <w:bCs/>
        </w:rPr>
        <w:t>Proposal</w:t>
      </w:r>
      <w:r w:rsidR="00FB4293" w:rsidRPr="005575C9">
        <w:rPr>
          <w:b/>
          <w:bCs/>
        </w:rPr>
        <w:t xml:space="preserve"> 2.5-2</w:t>
      </w:r>
      <w:r w:rsidRPr="005575C9">
        <w:rPr>
          <w:b/>
          <w:bCs/>
        </w:rPr>
        <w:t xml:space="preserve">: </w:t>
      </w:r>
      <w:r w:rsidRPr="007A047B">
        <w:rPr>
          <w:b/>
          <w:bCs/>
        </w:rPr>
        <w:t>RAN4 should implement a capability-aware test applicability framework that considers device functionality. For devices lacking legacy TN support, test applicability should be designed to avoid dependency on TN-related procedures and corresponding test cases.</w:t>
      </w:r>
      <w:r w:rsidR="00F64237">
        <w:rPr>
          <w:lang w:val="en-US"/>
        </w:rPr>
        <w:tab/>
      </w:r>
    </w:p>
    <w:p w14:paraId="0A8393EC" w14:textId="7398E76B" w:rsidR="00B56D4B" w:rsidRDefault="00B56D4B" w:rsidP="00B56D4B">
      <w:pPr>
        <w:pStyle w:val="Heading3"/>
      </w:pPr>
      <w:r>
        <w:t>2.</w:t>
      </w:r>
      <w:r w:rsidR="009B2111">
        <w:t>6</w:t>
      </w:r>
      <w:r w:rsidR="00595063">
        <w:tab/>
        <w:t>Structure and Drafting Principles for TS 38.133</w:t>
      </w:r>
    </w:p>
    <w:p w14:paraId="3463A714" w14:textId="77777777" w:rsidR="004E3F3F" w:rsidRDefault="006E4307" w:rsidP="002E3C3D">
      <w:pPr>
        <w:rPr>
          <w:lang w:eastAsia="en-US"/>
        </w:rPr>
      </w:pPr>
      <w:r>
        <w:rPr>
          <w:lang w:eastAsia="en-US"/>
        </w:rPr>
        <w:t>Specification improvement of TS 38.133 has already been discussed in Rel-19 for 5G NR and good progress has been</w:t>
      </w:r>
      <w:r w:rsidR="00941920">
        <w:rPr>
          <w:lang w:eastAsia="en-US"/>
        </w:rPr>
        <w:t xml:space="preserve"> made</w:t>
      </w:r>
      <w:r w:rsidR="003267DA">
        <w:rPr>
          <w:lang w:eastAsia="en-US"/>
        </w:rPr>
        <w:t xml:space="preserve">. We repeat here </w:t>
      </w:r>
      <w:r w:rsidR="003B1C4A">
        <w:rPr>
          <w:lang w:eastAsia="en-US"/>
        </w:rPr>
        <w:t xml:space="preserve">the </w:t>
      </w:r>
      <w:r w:rsidR="00D022D8">
        <w:rPr>
          <w:lang w:eastAsia="en-US"/>
        </w:rPr>
        <w:t xml:space="preserve">agreements that </w:t>
      </w:r>
      <w:r w:rsidR="00B8704F">
        <w:rPr>
          <w:lang w:eastAsia="en-US"/>
        </w:rPr>
        <w:t>have been made</w:t>
      </w:r>
      <w:r w:rsidR="00B40828">
        <w:rPr>
          <w:lang w:eastAsia="en-US"/>
        </w:rPr>
        <w:t xml:space="preserve"> in RAN4 #113 and propose </w:t>
      </w:r>
      <w:r w:rsidR="006778BF">
        <w:rPr>
          <w:lang w:eastAsia="en-US"/>
        </w:rPr>
        <w:t xml:space="preserve">that they should be applied </w:t>
      </w:r>
      <w:r w:rsidR="004E3F3F">
        <w:rPr>
          <w:lang w:eastAsia="en-US"/>
        </w:rPr>
        <w:t>fully for the 6G RRM spec</w:t>
      </w:r>
    </w:p>
    <w:p w14:paraId="046A9F1E" w14:textId="356F5805" w:rsidR="002E3C3D" w:rsidRPr="0050421E" w:rsidRDefault="004E3F3F" w:rsidP="002E3C3D">
      <w:pPr>
        <w:rPr>
          <w:b/>
          <w:bCs/>
          <w:lang w:eastAsia="en-US"/>
        </w:rPr>
      </w:pPr>
      <w:r w:rsidRPr="007A047B">
        <w:rPr>
          <w:b/>
          <w:bCs/>
          <w:lang w:eastAsia="en-US"/>
        </w:rPr>
        <w:t>Proposal</w:t>
      </w:r>
      <w:r w:rsidR="009B2111" w:rsidRPr="00824CDB">
        <w:rPr>
          <w:b/>
          <w:bCs/>
          <w:lang w:eastAsia="en-US"/>
        </w:rPr>
        <w:t xml:space="preserve"> 2.6-1</w:t>
      </w:r>
      <w:r w:rsidRPr="0050421E">
        <w:rPr>
          <w:b/>
          <w:bCs/>
          <w:lang w:eastAsia="en-US"/>
        </w:rPr>
        <w:t xml:space="preserve">: </w:t>
      </w:r>
      <w:r w:rsidR="009A0537" w:rsidRPr="0050421E">
        <w:rPr>
          <w:b/>
          <w:bCs/>
          <w:lang w:eastAsia="en-US"/>
        </w:rPr>
        <w:t xml:space="preserve">The 6G RRM spec should </w:t>
      </w:r>
      <w:r w:rsidR="00641B34" w:rsidRPr="0050421E">
        <w:rPr>
          <w:b/>
          <w:bCs/>
          <w:lang w:eastAsia="en-US"/>
        </w:rPr>
        <w:t xml:space="preserve">follow </w:t>
      </w:r>
      <w:r w:rsidR="002C75E7" w:rsidRPr="0050421E">
        <w:rPr>
          <w:b/>
          <w:bCs/>
          <w:lang w:eastAsia="en-US"/>
        </w:rPr>
        <w:t xml:space="preserve">the agreements </w:t>
      </w:r>
      <w:r w:rsidR="00062096" w:rsidRPr="0050421E">
        <w:rPr>
          <w:b/>
          <w:bCs/>
          <w:lang w:eastAsia="en-US"/>
        </w:rPr>
        <w:t>for RRM spec</w:t>
      </w:r>
      <w:r w:rsidR="00EF4A2E" w:rsidRPr="0050421E">
        <w:rPr>
          <w:b/>
          <w:bCs/>
          <w:lang w:eastAsia="en-US"/>
        </w:rPr>
        <w:t>ification</w:t>
      </w:r>
      <w:r w:rsidR="00062096" w:rsidRPr="0050421E">
        <w:rPr>
          <w:b/>
          <w:bCs/>
          <w:lang w:eastAsia="en-US"/>
        </w:rPr>
        <w:t xml:space="preserve"> improvement </w:t>
      </w:r>
      <w:r w:rsidR="00A568C2" w:rsidRPr="0050421E">
        <w:rPr>
          <w:b/>
          <w:bCs/>
          <w:lang w:eastAsia="en-US"/>
        </w:rPr>
        <w:t xml:space="preserve">made in </w:t>
      </w:r>
      <w:r w:rsidR="00742022" w:rsidRPr="0050421E">
        <w:rPr>
          <w:b/>
          <w:bCs/>
          <w:lang w:eastAsia="en-US"/>
        </w:rPr>
        <w:t>R4-242</w:t>
      </w:r>
      <w:r w:rsidR="00B5337F" w:rsidRPr="0050421E">
        <w:rPr>
          <w:b/>
          <w:bCs/>
          <w:lang w:eastAsia="en-US"/>
        </w:rPr>
        <w:t>0107</w:t>
      </w:r>
      <w:r w:rsidR="009A0537" w:rsidRPr="0050421E">
        <w:rPr>
          <w:b/>
          <w:bCs/>
          <w:lang w:eastAsia="en-US"/>
        </w:rPr>
        <w:t xml:space="preserve"> </w:t>
      </w:r>
      <w:r w:rsidR="006778BF" w:rsidRPr="0050421E">
        <w:rPr>
          <w:b/>
          <w:bCs/>
          <w:lang w:eastAsia="en-US"/>
        </w:rPr>
        <w:t xml:space="preserve">   </w:t>
      </w:r>
    </w:p>
    <w:p w14:paraId="6A62D2BD" w14:textId="74A615FD" w:rsidR="00BB0C48" w:rsidRPr="0050421E" w:rsidRDefault="00BB0C48" w:rsidP="002E3C3D">
      <w:pPr>
        <w:rPr>
          <w:b/>
          <w:bCs/>
          <w:lang w:eastAsia="en-US"/>
        </w:rPr>
      </w:pPr>
      <w:r w:rsidRPr="0050421E">
        <w:rPr>
          <w:b/>
          <w:bCs/>
          <w:lang w:eastAsia="en-US"/>
        </w:rPr>
        <w:t>Proposal</w:t>
      </w:r>
      <w:r w:rsidR="009B2111" w:rsidRPr="00824CDB">
        <w:rPr>
          <w:b/>
          <w:bCs/>
          <w:lang w:eastAsia="en-US"/>
        </w:rPr>
        <w:t xml:space="preserve"> 2.6-2</w:t>
      </w:r>
      <w:r w:rsidRPr="0050421E">
        <w:rPr>
          <w:b/>
          <w:bCs/>
          <w:lang w:eastAsia="en-US"/>
        </w:rPr>
        <w:t xml:space="preserve">: </w:t>
      </w:r>
      <w:r w:rsidR="003B090D" w:rsidRPr="0050421E">
        <w:rPr>
          <w:b/>
          <w:bCs/>
          <w:lang w:eastAsia="en-US"/>
        </w:rPr>
        <w:t>The 6G RRM specification should adopt RAN2 pseudo-code approach</w:t>
      </w:r>
      <w:r w:rsidR="00904960" w:rsidRPr="0050421E">
        <w:rPr>
          <w:b/>
          <w:bCs/>
          <w:lang w:eastAsia="en-US"/>
        </w:rPr>
        <w:t xml:space="preserve"> </w:t>
      </w:r>
      <w:r w:rsidR="00334FCE" w:rsidRPr="0050421E">
        <w:rPr>
          <w:b/>
          <w:bCs/>
          <w:lang w:eastAsia="en-US"/>
        </w:rPr>
        <w:t>in</w:t>
      </w:r>
      <w:r w:rsidR="00904960" w:rsidRPr="0050421E">
        <w:rPr>
          <w:b/>
          <w:bCs/>
          <w:lang w:eastAsia="en-US"/>
        </w:rPr>
        <w:t xml:space="preserve"> all sections</w:t>
      </w:r>
    </w:p>
    <w:p w14:paraId="57BDF27C" w14:textId="47C16E1C" w:rsidR="007422C2" w:rsidRPr="007A047B" w:rsidRDefault="007422C2" w:rsidP="007A047B">
      <w:pPr>
        <w:spacing w:after="0"/>
        <w:rPr>
          <w:b/>
          <w:bCs/>
          <w:lang w:eastAsia="en-US"/>
        </w:rPr>
      </w:pPr>
      <w:r w:rsidRPr="0050421E">
        <w:rPr>
          <w:b/>
          <w:bCs/>
          <w:lang w:eastAsia="en-US"/>
        </w:rPr>
        <w:t>Proposa</w:t>
      </w:r>
      <w:r w:rsidR="00824CDB">
        <w:rPr>
          <w:b/>
          <w:bCs/>
          <w:lang w:eastAsia="en-US"/>
        </w:rPr>
        <w:t>l</w:t>
      </w:r>
      <w:r w:rsidR="009B2111" w:rsidRPr="00824CDB">
        <w:rPr>
          <w:b/>
          <w:bCs/>
          <w:lang w:eastAsia="en-US"/>
        </w:rPr>
        <w:t xml:space="preserve"> 2.6-3</w:t>
      </w:r>
      <w:r w:rsidRPr="007A047B">
        <w:rPr>
          <w:b/>
          <w:bCs/>
          <w:lang w:eastAsia="en-US"/>
        </w:rPr>
        <w:t>: The fo</w:t>
      </w:r>
      <w:r w:rsidR="00EF4A2E" w:rsidRPr="007A047B">
        <w:rPr>
          <w:b/>
          <w:bCs/>
          <w:lang w:eastAsia="en-US"/>
        </w:rPr>
        <w:t>llowing drafting principles have been agreed in Rel-19 RRM specification improvement</w:t>
      </w:r>
      <w:r w:rsidR="00716191" w:rsidRPr="007A047B">
        <w:rPr>
          <w:b/>
          <w:bCs/>
          <w:lang w:eastAsia="en-US"/>
        </w:rPr>
        <w:t xml:space="preserve"> and should be applied for the 6G RRM specification</w:t>
      </w:r>
      <w:r w:rsidR="00EF4A2E" w:rsidRPr="007A047B">
        <w:rPr>
          <w:b/>
          <w:bCs/>
          <w:lang w:eastAsia="en-US"/>
        </w:rPr>
        <w:tab/>
      </w:r>
    </w:p>
    <w:p w14:paraId="6DDEB472" w14:textId="26EE5961" w:rsidR="00B262D6" w:rsidRDefault="008E6027" w:rsidP="00B262D6">
      <w:pPr>
        <w:pStyle w:val="ListParagraph"/>
        <w:numPr>
          <w:ilvl w:val="0"/>
          <w:numId w:val="30"/>
        </w:numPr>
        <w:rPr>
          <w:lang w:eastAsia="en-US"/>
        </w:rPr>
      </w:pPr>
      <w:r>
        <w:rPr>
          <w:lang w:eastAsia="en-US"/>
        </w:rPr>
        <w:t>Put conditions before requirements</w:t>
      </w:r>
    </w:p>
    <w:p w14:paraId="6E3F0C42" w14:textId="77777777" w:rsidR="00DB5A8B" w:rsidRDefault="00515166" w:rsidP="00B262D6">
      <w:pPr>
        <w:pStyle w:val="ListParagraph"/>
        <w:numPr>
          <w:ilvl w:val="0"/>
          <w:numId w:val="30"/>
        </w:numPr>
        <w:rPr>
          <w:lang w:eastAsia="en-US"/>
        </w:rPr>
      </w:pPr>
      <w:r>
        <w:rPr>
          <w:lang w:eastAsia="en-US"/>
        </w:rPr>
        <w:t xml:space="preserve">For requirements with </w:t>
      </w:r>
      <w:r w:rsidR="00926730">
        <w:rPr>
          <w:lang w:eastAsia="en-US"/>
        </w:rPr>
        <w:t>multiple applicable conditions, strive to start the paragraph with UE capability, if applicable, and providing all remaining conditions in a list</w:t>
      </w:r>
    </w:p>
    <w:p w14:paraId="07A1D114" w14:textId="77777777" w:rsidR="003C0822" w:rsidRDefault="00DB5A8B" w:rsidP="00B262D6">
      <w:pPr>
        <w:pStyle w:val="ListParagraph"/>
        <w:numPr>
          <w:ilvl w:val="0"/>
          <w:numId w:val="30"/>
        </w:numPr>
        <w:rPr>
          <w:lang w:eastAsia="en-US"/>
        </w:rPr>
      </w:pPr>
      <w:r>
        <w:rPr>
          <w:lang w:eastAsia="en-US"/>
        </w:rPr>
        <w:t>When both new and legacy requirement are to be put in the same hierarchy level</w:t>
      </w:r>
      <w:r w:rsidR="00451D5D">
        <w:rPr>
          <w:lang w:eastAsia="en-US"/>
        </w:rPr>
        <w:t xml:space="preserve">, </w:t>
      </w:r>
      <w:r w:rsidR="008D5284">
        <w:rPr>
          <w:lang w:eastAsia="en-US"/>
        </w:rPr>
        <w:t xml:space="preserve">separate new and </w:t>
      </w:r>
      <w:r w:rsidR="00165E55">
        <w:rPr>
          <w:lang w:eastAsia="en-US"/>
        </w:rPr>
        <w:t xml:space="preserve">legacy requirement </w:t>
      </w:r>
      <w:r w:rsidR="00402587">
        <w:rPr>
          <w:lang w:eastAsia="en-US"/>
        </w:rPr>
        <w:t>with I</w:t>
      </w:r>
      <w:r w:rsidR="00BF6359">
        <w:rPr>
          <w:lang w:eastAsia="en-US"/>
        </w:rPr>
        <w:t>f</w:t>
      </w:r>
      <w:r w:rsidR="00402587">
        <w:rPr>
          <w:lang w:eastAsia="en-US"/>
        </w:rPr>
        <w:t xml:space="preserve"> and </w:t>
      </w:r>
      <w:r w:rsidR="00BF6359">
        <w:rPr>
          <w:lang w:eastAsia="en-US"/>
        </w:rPr>
        <w:t>E</w:t>
      </w:r>
      <w:r w:rsidR="00402587">
        <w:rPr>
          <w:lang w:eastAsia="en-US"/>
        </w:rPr>
        <w:t>lse</w:t>
      </w:r>
      <w:r w:rsidR="00BF6359">
        <w:rPr>
          <w:lang w:eastAsia="en-US"/>
        </w:rPr>
        <w:t xml:space="preserve"> if</w:t>
      </w:r>
    </w:p>
    <w:p w14:paraId="1BB2F0FD" w14:textId="77777777" w:rsidR="00354B2F" w:rsidRDefault="00354B2F" w:rsidP="003C0822">
      <w:pPr>
        <w:pStyle w:val="ListParagraph"/>
        <w:numPr>
          <w:ilvl w:val="1"/>
          <w:numId w:val="30"/>
        </w:numPr>
        <w:rPr>
          <w:lang w:eastAsia="en-US"/>
        </w:rPr>
      </w:pPr>
      <w:r>
        <w:rPr>
          <w:lang w:eastAsia="en-US"/>
        </w:rPr>
        <w:t>If (condition of legacy requirement)</w:t>
      </w:r>
    </w:p>
    <w:p w14:paraId="2CBA7D36" w14:textId="77777777" w:rsidR="00354B2F" w:rsidRDefault="00354B2F" w:rsidP="00354B2F">
      <w:pPr>
        <w:pStyle w:val="ListParagraph"/>
        <w:numPr>
          <w:ilvl w:val="2"/>
          <w:numId w:val="30"/>
        </w:numPr>
        <w:rPr>
          <w:lang w:eastAsia="en-US"/>
        </w:rPr>
      </w:pPr>
      <w:r>
        <w:rPr>
          <w:lang w:eastAsia="en-US"/>
        </w:rPr>
        <w:t>Legacy requirements</w:t>
      </w:r>
    </w:p>
    <w:p w14:paraId="2B905CF5" w14:textId="77777777" w:rsidR="00354B2F" w:rsidRDefault="00354B2F" w:rsidP="00354B2F">
      <w:pPr>
        <w:pStyle w:val="ListParagraph"/>
        <w:numPr>
          <w:ilvl w:val="1"/>
          <w:numId w:val="30"/>
        </w:numPr>
        <w:rPr>
          <w:lang w:eastAsia="en-US"/>
        </w:rPr>
      </w:pPr>
      <w:r>
        <w:rPr>
          <w:lang w:eastAsia="en-US"/>
        </w:rPr>
        <w:t>Else if (condition of new requirement)</w:t>
      </w:r>
    </w:p>
    <w:p w14:paraId="0661E2C8" w14:textId="77777777" w:rsidR="008E6027" w:rsidRDefault="00B26D9D" w:rsidP="00354B2F">
      <w:pPr>
        <w:pStyle w:val="ListParagraph"/>
        <w:numPr>
          <w:ilvl w:val="2"/>
          <w:numId w:val="30"/>
        </w:numPr>
        <w:rPr>
          <w:lang w:eastAsia="en-US"/>
        </w:rPr>
      </w:pPr>
      <w:r>
        <w:rPr>
          <w:lang w:eastAsia="en-US"/>
        </w:rPr>
        <w:t>New requirement</w:t>
      </w:r>
      <w:r w:rsidR="00354B2F">
        <w:rPr>
          <w:lang w:eastAsia="en-US"/>
        </w:rPr>
        <w:t xml:space="preserve"> </w:t>
      </w:r>
      <w:r w:rsidR="00402587">
        <w:rPr>
          <w:lang w:eastAsia="en-US"/>
        </w:rPr>
        <w:t xml:space="preserve"> </w:t>
      </w:r>
      <w:r w:rsidR="00926730">
        <w:rPr>
          <w:lang w:eastAsia="en-US"/>
        </w:rPr>
        <w:t xml:space="preserve"> </w:t>
      </w:r>
    </w:p>
    <w:p w14:paraId="754E548A" w14:textId="5D2E1772" w:rsidR="00094C14" w:rsidRPr="007A047B" w:rsidRDefault="003C3F76" w:rsidP="005E1D0C">
      <w:pPr>
        <w:rPr>
          <w:b/>
          <w:bCs/>
        </w:rPr>
      </w:pPr>
      <w:r w:rsidRPr="007A047B">
        <w:rPr>
          <w:b/>
          <w:bCs/>
        </w:rPr>
        <w:t>Proposal</w:t>
      </w:r>
      <w:r w:rsidR="009B2111" w:rsidRPr="00824CDB">
        <w:rPr>
          <w:b/>
          <w:bCs/>
        </w:rPr>
        <w:t xml:space="preserve"> 2.6-4</w:t>
      </w:r>
      <w:r w:rsidRPr="007A047B">
        <w:rPr>
          <w:b/>
          <w:bCs/>
        </w:rPr>
        <w:t xml:space="preserve">: </w:t>
      </w:r>
      <w:r w:rsidR="00691865" w:rsidRPr="007A047B">
        <w:rPr>
          <w:b/>
          <w:bCs/>
        </w:rPr>
        <w:t xml:space="preserve">RAN4 should study whether further drafting principles </w:t>
      </w:r>
      <w:r w:rsidR="00DD159A" w:rsidRPr="007A047B">
        <w:rPr>
          <w:b/>
          <w:bCs/>
        </w:rPr>
        <w:t>should be</w:t>
      </w:r>
      <w:r w:rsidR="007A4A73" w:rsidRPr="007A047B">
        <w:rPr>
          <w:b/>
          <w:bCs/>
        </w:rPr>
        <w:t xml:space="preserve"> </w:t>
      </w:r>
      <w:r w:rsidR="00DD159A" w:rsidRPr="007A047B">
        <w:rPr>
          <w:b/>
          <w:bCs/>
        </w:rPr>
        <w:t>defined</w:t>
      </w:r>
      <w:r w:rsidR="007A4A73" w:rsidRPr="007A047B">
        <w:rPr>
          <w:b/>
          <w:bCs/>
        </w:rPr>
        <w:t xml:space="preserve"> to enhance the readability of the </w:t>
      </w:r>
      <w:r w:rsidR="009222E6" w:rsidRPr="007A047B">
        <w:rPr>
          <w:b/>
          <w:bCs/>
        </w:rPr>
        <w:t>spec</w:t>
      </w:r>
      <w:r w:rsidR="008961C8" w:rsidRPr="007A047B">
        <w:rPr>
          <w:b/>
          <w:bCs/>
        </w:rPr>
        <w:t xml:space="preserve"> and</w:t>
      </w:r>
      <w:r w:rsidR="00931104" w:rsidRPr="007A047B">
        <w:rPr>
          <w:b/>
          <w:bCs/>
        </w:rPr>
        <w:t xml:space="preserve"> should document the drafting principals clearly</w:t>
      </w:r>
      <w:r w:rsidR="009878D7" w:rsidRPr="007A047B">
        <w:rPr>
          <w:b/>
          <w:bCs/>
        </w:rPr>
        <w:t>.</w:t>
      </w:r>
      <w:r w:rsidR="00462E35" w:rsidRPr="007A047B">
        <w:rPr>
          <w:b/>
          <w:bCs/>
        </w:rPr>
        <w:t xml:space="preserve"> </w:t>
      </w:r>
      <w:r w:rsidR="009222E6" w:rsidRPr="007A047B">
        <w:rPr>
          <w:b/>
          <w:bCs/>
        </w:rPr>
        <w:t xml:space="preserve"> </w:t>
      </w:r>
      <w:r w:rsidR="00DD159A" w:rsidRPr="007A047B">
        <w:rPr>
          <w:b/>
          <w:bCs/>
        </w:rPr>
        <w:t xml:space="preserve"> </w:t>
      </w:r>
    </w:p>
    <w:p w14:paraId="0B4C7490" w14:textId="383072C7" w:rsidR="000B5D85" w:rsidRPr="000B5D85" w:rsidRDefault="00935380" w:rsidP="005E1D0C">
      <w:pPr>
        <w:rPr>
          <w:lang w:eastAsia="en-US"/>
        </w:rPr>
      </w:pPr>
      <w:r>
        <w:t xml:space="preserve">RAN4 should also investigate in the 6G study item whether the set of RRM procedures can be reduced, and requirements can be defined only for key procedures. Corner cases or less common scenarios may not require defining core and performance requirements. That would also help to reduce the complexity and the readability of the RRM specification significantly. For example, for event-triggered reports requirements may only be defined if a clear network action follows within a well-defined interval. One of the goals of the 6G study item should be to define a slim RRM specification that focuses on the main procedures and does not define requirements for corner cases. Similarly, RAN4 should also aim to avoid defining too many different options for the same feature and focus on a very few core procedures. An example is </w:t>
      </w:r>
      <w:proofErr w:type="spellStart"/>
      <w:r>
        <w:t>SCell</w:t>
      </w:r>
      <w:proofErr w:type="spellEnd"/>
      <w:r>
        <w:t xml:space="preserve"> </w:t>
      </w:r>
      <w:r>
        <w:lastRenderedPageBreak/>
        <w:t xml:space="preserve">activation that got enhanced in 5G NR since Rel-15 but only the Rel-15 procedures are commercialized in our understanding. </w:t>
      </w:r>
    </w:p>
    <w:p w14:paraId="22CE82B7" w14:textId="399B5341" w:rsidR="003D758C" w:rsidRPr="007A047B" w:rsidRDefault="003D758C" w:rsidP="005E1D0C">
      <w:pPr>
        <w:rPr>
          <w:b/>
          <w:bCs/>
        </w:rPr>
      </w:pPr>
      <w:r w:rsidRPr="0050421E">
        <w:rPr>
          <w:b/>
          <w:bCs/>
        </w:rPr>
        <w:t>Proposal</w:t>
      </w:r>
      <w:r w:rsidR="009B2111" w:rsidRPr="00824CDB">
        <w:rPr>
          <w:b/>
          <w:bCs/>
        </w:rPr>
        <w:t xml:space="preserve"> 2.6</w:t>
      </w:r>
      <w:r w:rsidR="002B4B7B" w:rsidRPr="00824CDB">
        <w:rPr>
          <w:b/>
          <w:bCs/>
        </w:rPr>
        <w:t>-5</w:t>
      </w:r>
      <w:r w:rsidRPr="007A047B">
        <w:rPr>
          <w:b/>
          <w:bCs/>
        </w:rPr>
        <w:t xml:space="preserve">: </w:t>
      </w:r>
      <w:r w:rsidR="007410A7" w:rsidRPr="007A047B">
        <w:rPr>
          <w:b/>
          <w:bCs/>
        </w:rPr>
        <w:t>RAN4 should study in the 6G study item whether the amount of RRM procedures can be reduced. Requirements should only be defined for key RRM procedures.</w:t>
      </w:r>
    </w:p>
    <w:p w14:paraId="18B7E844" w14:textId="4B7E56CE" w:rsidR="00334FCE" w:rsidRDefault="004A3C90" w:rsidP="005E1D0C">
      <w:r>
        <w:t>I</w:t>
      </w:r>
      <w:r w:rsidR="00FF2C89">
        <w:t xml:space="preserve">t is important </w:t>
      </w:r>
      <w:r w:rsidR="006D78E0">
        <w:t xml:space="preserve">that </w:t>
      </w:r>
      <w:r>
        <w:t xml:space="preserve">these </w:t>
      </w:r>
      <w:r w:rsidR="00F040FB">
        <w:t xml:space="preserve">drafting principles are </w:t>
      </w:r>
      <w:r>
        <w:t xml:space="preserve">very closely followed </w:t>
      </w:r>
      <w:r w:rsidR="005773E7">
        <w:t xml:space="preserve">to avoid the risk that the RRM spec </w:t>
      </w:r>
      <w:r w:rsidR="00C32D9C">
        <w:t xml:space="preserve">ends up in a messy status again. </w:t>
      </w:r>
      <w:r w:rsidR="00A8667C">
        <w:t xml:space="preserve">Since the drafting principles are new </w:t>
      </w:r>
      <w:r w:rsidR="007D7E0D">
        <w:t xml:space="preserve">it may not be easy for everybody to </w:t>
      </w:r>
      <w:r w:rsidR="00CA00A1">
        <w:t>always follow them strictly</w:t>
      </w:r>
      <w:r w:rsidR="007D7E0D">
        <w:t xml:space="preserve">. </w:t>
      </w:r>
      <w:r w:rsidR="00CA00A1">
        <w:t>Therefore,</w:t>
      </w:r>
      <w:r w:rsidR="00D51BC2">
        <w:t xml:space="preserve"> we believe that the editor of the RRM spec </w:t>
      </w:r>
      <w:r w:rsidR="00BF5DB1">
        <w:t>has to spend some effort to maintain the good quality of the spec</w:t>
      </w:r>
      <w:r w:rsidR="00DA205E">
        <w:t xml:space="preserve">, i.e., by making sure that CRs are only accepted </w:t>
      </w:r>
      <w:r w:rsidR="00666477">
        <w:t xml:space="preserve">if they clearly follow the drafting principles. </w:t>
      </w:r>
      <w:r w:rsidR="00C32D9C">
        <w:t xml:space="preserve"> </w:t>
      </w:r>
      <w:r>
        <w:t xml:space="preserve"> </w:t>
      </w:r>
    </w:p>
    <w:p w14:paraId="7EBE1551" w14:textId="32F26E96" w:rsidR="00074BDD" w:rsidRPr="007A047B" w:rsidRDefault="00074BDD">
      <w:pPr>
        <w:rPr>
          <w:b/>
          <w:bCs/>
        </w:rPr>
      </w:pPr>
      <w:r w:rsidRPr="007A047B">
        <w:rPr>
          <w:b/>
          <w:bCs/>
        </w:rPr>
        <w:t>Proposal</w:t>
      </w:r>
      <w:r w:rsidR="002B4B7B" w:rsidRPr="00824CDB">
        <w:rPr>
          <w:b/>
          <w:bCs/>
        </w:rPr>
        <w:t xml:space="preserve"> 2.6-6</w:t>
      </w:r>
      <w:r w:rsidRPr="007A047B">
        <w:rPr>
          <w:b/>
          <w:bCs/>
        </w:rPr>
        <w:t xml:space="preserve">: </w:t>
      </w:r>
      <w:r w:rsidR="008E5C95" w:rsidRPr="007A047B">
        <w:rPr>
          <w:b/>
          <w:bCs/>
        </w:rPr>
        <w:t xml:space="preserve">CRs for the 6GR RRM spec should only be accepted </w:t>
      </w:r>
      <w:r w:rsidR="004F23D5" w:rsidRPr="007A047B">
        <w:rPr>
          <w:b/>
          <w:bCs/>
        </w:rPr>
        <w:t xml:space="preserve">if they clearly follow the drafting principles. </w:t>
      </w:r>
      <w:r w:rsidR="00D219DE" w:rsidRPr="007A047B">
        <w:rPr>
          <w:b/>
          <w:bCs/>
        </w:rPr>
        <w:t xml:space="preserve"> </w:t>
      </w:r>
    </w:p>
    <w:p w14:paraId="3F61737D" w14:textId="0B22D655" w:rsidR="002B4B7B" w:rsidRPr="00F569B6" w:rsidRDefault="002B4B7B" w:rsidP="002B4B7B">
      <w:pPr>
        <w:pStyle w:val="Heading1"/>
      </w:pPr>
      <w:r>
        <w:t>3.</w:t>
      </w:r>
      <w:r>
        <w:tab/>
        <w:t>Conclusions</w:t>
      </w:r>
    </w:p>
    <w:p w14:paraId="43EF1BB3" w14:textId="77777777" w:rsidR="008242F0" w:rsidRPr="008242F0" w:rsidRDefault="008242F0" w:rsidP="008242F0">
      <w:pPr>
        <w:rPr>
          <w:b/>
          <w:bCs/>
          <w:lang w:val="en-US"/>
        </w:rPr>
      </w:pPr>
      <w:r w:rsidRPr="008242F0">
        <w:rPr>
          <w:b/>
          <w:bCs/>
          <w:lang w:val="en-US"/>
        </w:rPr>
        <w:t>Section 2.1 – Impact of Increasing Channel BWs to RAN4 Work</w:t>
      </w:r>
    </w:p>
    <w:p w14:paraId="470677F8" w14:textId="77777777" w:rsidR="008242F0" w:rsidRPr="008242F0" w:rsidRDefault="008242F0" w:rsidP="008242F0">
      <w:pPr>
        <w:numPr>
          <w:ilvl w:val="0"/>
          <w:numId w:val="37"/>
        </w:numPr>
        <w:rPr>
          <w:lang w:val="en-US"/>
        </w:rPr>
      </w:pPr>
      <w:r w:rsidRPr="008242F0">
        <w:rPr>
          <w:b/>
          <w:bCs/>
          <w:lang w:val="en-US"/>
        </w:rPr>
        <w:t>Observation 2.1-1</w:t>
      </w:r>
      <w:r w:rsidRPr="008242F0">
        <w:rPr>
          <w:lang w:val="en-US"/>
        </w:rPr>
        <w:t>:</w:t>
      </w:r>
      <w:r w:rsidRPr="008242F0">
        <w:rPr>
          <w:lang w:val="en-US"/>
        </w:rPr>
        <w:br/>
      </w:r>
      <w:r w:rsidRPr="008242F0">
        <w:rPr>
          <w:i/>
          <w:iCs/>
          <w:lang w:val="en-US"/>
        </w:rPr>
        <w:t>The volume of specification work is expected to increase with 6G.</w:t>
      </w:r>
    </w:p>
    <w:p w14:paraId="5E354C0B" w14:textId="77777777" w:rsidR="008242F0" w:rsidRPr="008242F0" w:rsidRDefault="008242F0" w:rsidP="008242F0">
      <w:pPr>
        <w:numPr>
          <w:ilvl w:val="0"/>
          <w:numId w:val="37"/>
        </w:numPr>
        <w:rPr>
          <w:lang w:val="en-US"/>
        </w:rPr>
      </w:pPr>
      <w:r w:rsidRPr="008242F0">
        <w:rPr>
          <w:b/>
          <w:bCs/>
          <w:lang w:val="en-US"/>
        </w:rPr>
        <w:t>Proposal 2.1-1</w:t>
      </w:r>
      <w:r w:rsidRPr="008242F0">
        <w:rPr>
          <w:lang w:val="en-US"/>
        </w:rPr>
        <w:t>:</w:t>
      </w:r>
      <w:r w:rsidRPr="008242F0">
        <w:rPr>
          <w:lang w:val="en-US"/>
        </w:rPr>
        <w:br/>
      </w:r>
      <w:r w:rsidRPr="008242F0">
        <w:rPr>
          <w:i/>
          <w:iCs/>
          <w:lang w:val="en-US"/>
        </w:rPr>
        <w:t>RAN4 should study how to manage the growing number of channel bandwidths by simplifying the specifications and making them easily scalable.</w:t>
      </w:r>
    </w:p>
    <w:p w14:paraId="3DB331DD" w14:textId="77777777" w:rsidR="008242F0" w:rsidRPr="008242F0" w:rsidRDefault="00000000" w:rsidP="008242F0">
      <w:pPr>
        <w:rPr>
          <w:lang w:val="en-US"/>
        </w:rPr>
      </w:pPr>
      <w:r>
        <w:rPr>
          <w:lang w:val="en-US"/>
        </w:rPr>
        <w:pict w14:anchorId="03EF5FFA">
          <v:rect id="_x0000_i1025" style="width:0;height:1.5pt" o:hralign="center" o:hrstd="t" o:hr="t" fillcolor="#a0a0a0" stroked="f"/>
        </w:pict>
      </w:r>
    </w:p>
    <w:p w14:paraId="1E8CCC65" w14:textId="77777777" w:rsidR="008242F0" w:rsidRPr="008242F0" w:rsidRDefault="008242F0" w:rsidP="008242F0">
      <w:pPr>
        <w:rPr>
          <w:b/>
          <w:bCs/>
          <w:lang w:val="en-US"/>
        </w:rPr>
      </w:pPr>
      <w:r w:rsidRPr="008242F0">
        <w:rPr>
          <w:b/>
          <w:bCs/>
          <w:lang w:val="en-US"/>
        </w:rPr>
        <w:t>Section 2.2.1 – Views on FFT Increase and Its Impact on RAN4 Requirements</w:t>
      </w:r>
    </w:p>
    <w:p w14:paraId="1A8A01C1" w14:textId="77777777" w:rsidR="008242F0" w:rsidRPr="008242F0" w:rsidRDefault="008242F0" w:rsidP="008242F0">
      <w:pPr>
        <w:numPr>
          <w:ilvl w:val="0"/>
          <w:numId w:val="38"/>
        </w:numPr>
        <w:rPr>
          <w:lang w:val="en-US"/>
        </w:rPr>
      </w:pPr>
      <w:r w:rsidRPr="008242F0">
        <w:rPr>
          <w:b/>
          <w:bCs/>
          <w:lang w:val="en-US"/>
        </w:rPr>
        <w:t>Observation 2.2-1</w:t>
      </w:r>
      <w:r w:rsidRPr="008242F0">
        <w:rPr>
          <w:lang w:val="en-US"/>
        </w:rPr>
        <w:t>:</w:t>
      </w:r>
      <w:r w:rsidRPr="008242F0">
        <w:rPr>
          <w:lang w:val="en-US"/>
        </w:rPr>
        <w:br/>
      </w:r>
      <w:r w:rsidRPr="008242F0">
        <w:rPr>
          <w:i/>
          <w:iCs/>
          <w:lang w:val="en-US"/>
        </w:rPr>
        <w:t>Similarly to adding more channel BWs in RAN4, increasing the FFT size will mean more volume of work in RAN4.</w:t>
      </w:r>
    </w:p>
    <w:p w14:paraId="3B721265" w14:textId="77777777" w:rsidR="008242F0" w:rsidRPr="008242F0" w:rsidRDefault="00000000" w:rsidP="008242F0">
      <w:pPr>
        <w:rPr>
          <w:lang w:val="en-US"/>
        </w:rPr>
      </w:pPr>
      <w:r>
        <w:rPr>
          <w:lang w:val="en-US"/>
        </w:rPr>
        <w:pict w14:anchorId="11419998">
          <v:rect id="_x0000_i1026" style="width:0;height:1.5pt" o:hralign="center" o:hrstd="t" o:hr="t" fillcolor="#a0a0a0" stroked="f"/>
        </w:pict>
      </w:r>
    </w:p>
    <w:p w14:paraId="223878E5" w14:textId="77777777" w:rsidR="008242F0" w:rsidRPr="008242F0" w:rsidRDefault="008242F0" w:rsidP="008242F0">
      <w:pPr>
        <w:rPr>
          <w:b/>
          <w:bCs/>
          <w:lang w:val="en-US"/>
        </w:rPr>
      </w:pPr>
      <w:r w:rsidRPr="008242F0">
        <w:rPr>
          <w:b/>
          <w:bCs/>
          <w:lang w:val="en-US"/>
        </w:rPr>
        <w:t>Section 2.3 – CR Handling Practices and Technical Specifications</w:t>
      </w:r>
    </w:p>
    <w:p w14:paraId="6B82B89D" w14:textId="77777777" w:rsidR="008242F0" w:rsidRPr="008242F0" w:rsidRDefault="008242F0" w:rsidP="008242F0">
      <w:pPr>
        <w:numPr>
          <w:ilvl w:val="0"/>
          <w:numId w:val="39"/>
        </w:numPr>
        <w:rPr>
          <w:lang w:val="en-US"/>
        </w:rPr>
      </w:pPr>
      <w:r w:rsidRPr="008242F0">
        <w:rPr>
          <w:b/>
          <w:bCs/>
          <w:lang w:val="en-US"/>
        </w:rPr>
        <w:t>Observation 2.3-1</w:t>
      </w:r>
      <w:r w:rsidRPr="008242F0">
        <w:rPr>
          <w:lang w:val="en-US"/>
        </w:rPr>
        <w:t>:</w:t>
      </w:r>
      <w:r w:rsidRPr="008242F0">
        <w:rPr>
          <w:lang w:val="en-US"/>
        </w:rPr>
        <w:br/>
      </w:r>
      <w:r w:rsidRPr="008242F0">
        <w:rPr>
          <w:i/>
          <w:iCs/>
          <w:lang w:val="en-US"/>
        </w:rPr>
        <w:t>Only normative requirements in Technical Specifications have impact on how features are implemented.</w:t>
      </w:r>
    </w:p>
    <w:p w14:paraId="10F14D8F" w14:textId="77777777" w:rsidR="008242F0" w:rsidRPr="008242F0" w:rsidRDefault="008242F0" w:rsidP="008242F0">
      <w:pPr>
        <w:numPr>
          <w:ilvl w:val="0"/>
          <w:numId w:val="39"/>
        </w:numPr>
        <w:rPr>
          <w:lang w:val="en-US"/>
        </w:rPr>
      </w:pPr>
      <w:r w:rsidRPr="008242F0">
        <w:rPr>
          <w:b/>
          <w:bCs/>
          <w:lang w:val="en-US"/>
        </w:rPr>
        <w:t>Observation 2.3-2</w:t>
      </w:r>
      <w:r w:rsidRPr="008242F0">
        <w:rPr>
          <w:lang w:val="en-US"/>
        </w:rPr>
        <w:t>:</w:t>
      </w:r>
      <w:r w:rsidRPr="008242F0">
        <w:rPr>
          <w:lang w:val="en-US"/>
        </w:rPr>
        <w:br/>
      </w:r>
      <w:r w:rsidRPr="008242F0">
        <w:rPr>
          <w:i/>
          <w:iCs/>
          <w:lang w:val="en-US"/>
        </w:rPr>
        <w:t>Proper time should be allowed for companies to check the CR and their implementation status before rushing to agree Change Request.</w:t>
      </w:r>
    </w:p>
    <w:p w14:paraId="1439176E" w14:textId="77777777" w:rsidR="008242F0" w:rsidRPr="008242F0" w:rsidRDefault="008242F0" w:rsidP="008242F0">
      <w:pPr>
        <w:numPr>
          <w:ilvl w:val="0"/>
          <w:numId w:val="39"/>
        </w:numPr>
        <w:rPr>
          <w:lang w:val="en-US"/>
        </w:rPr>
      </w:pPr>
      <w:r w:rsidRPr="008242F0">
        <w:rPr>
          <w:b/>
          <w:bCs/>
          <w:lang w:val="en-US"/>
        </w:rPr>
        <w:t>Observation 2.3-3</w:t>
      </w:r>
      <w:r w:rsidRPr="008242F0">
        <w:rPr>
          <w:lang w:val="en-US"/>
        </w:rPr>
        <w:t>:</w:t>
      </w:r>
      <w:r w:rsidRPr="008242F0">
        <w:rPr>
          <w:lang w:val="en-US"/>
        </w:rPr>
        <w:br/>
      </w:r>
      <w:r w:rsidRPr="008242F0">
        <w:rPr>
          <w:i/>
          <w:iCs/>
          <w:lang w:val="en-US"/>
        </w:rPr>
        <w:t>Well-written requirements do not leave room for interpretations of the underlying functional requirement.</w:t>
      </w:r>
    </w:p>
    <w:p w14:paraId="6D449E71" w14:textId="77777777" w:rsidR="008242F0" w:rsidRPr="008242F0" w:rsidRDefault="00000000" w:rsidP="008242F0">
      <w:pPr>
        <w:rPr>
          <w:lang w:val="en-US"/>
        </w:rPr>
      </w:pPr>
      <w:r>
        <w:rPr>
          <w:lang w:val="en-US"/>
        </w:rPr>
        <w:pict w14:anchorId="1CAE104C">
          <v:rect id="_x0000_i1027" style="width:0;height:1.5pt" o:hralign="center" o:hrstd="t" o:hr="t" fillcolor="#a0a0a0" stroked="f"/>
        </w:pict>
      </w:r>
    </w:p>
    <w:p w14:paraId="7C7F39D3" w14:textId="77777777" w:rsidR="008242F0" w:rsidRPr="008242F0" w:rsidRDefault="008242F0" w:rsidP="008242F0">
      <w:pPr>
        <w:rPr>
          <w:b/>
          <w:bCs/>
          <w:lang w:val="en-US"/>
        </w:rPr>
      </w:pPr>
      <w:r w:rsidRPr="008242F0">
        <w:rPr>
          <w:b/>
          <w:bCs/>
          <w:lang w:val="en-US"/>
        </w:rPr>
        <w:t>Section 2.4 – Modernization of Specification Drafting Tools in RAN4</w:t>
      </w:r>
    </w:p>
    <w:p w14:paraId="37DA5FB2" w14:textId="77777777" w:rsidR="008242F0" w:rsidRPr="008242F0" w:rsidRDefault="008242F0" w:rsidP="008242F0">
      <w:pPr>
        <w:numPr>
          <w:ilvl w:val="0"/>
          <w:numId w:val="40"/>
        </w:numPr>
        <w:rPr>
          <w:lang w:val="en-US"/>
        </w:rPr>
      </w:pPr>
      <w:r w:rsidRPr="008242F0">
        <w:rPr>
          <w:b/>
          <w:bCs/>
          <w:lang w:val="en-US"/>
        </w:rPr>
        <w:t>Proposal 2.4-1</w:t>
      </w:r>
      <w:r w:rsidRPr="008242F0">
        <w:rPr>
          <w:lang w:val="en-US"/>
        </w:rPr>
        <w:t>:</w:t>
      </w:r>
      <w:r w:rsidRPr="008242F0">
        <w:rPr>
          <w:lang w:val="en-US"/>
        </w:rPr>
        <w:br/>
      </w:r>
      <w:r w:rsidRPr="008242F0">
        <w:rPr>
          <w:i/>
          <w:iCs/>
          <w:lang w:val="en-US"/>
        </w:rPr>
        <w:t>RAN4 should consider Markdown-based spec authoring with Git integration, aligning with TR 21.802 to evaluate editorial and operational benefits.</w:t>
      </w:r>
    </w:p>
    <w:p w14:paraId="4F95F5DF" w14:textId="77777777" w:rsidR="008242F0" w:rsidRPr="008242F0" w:rsidRDefault="00000000" w:rsidP="008242F0">
      <w:pPr>
        <w:rPr>
          <w:lang w:val="en-US"/>
        </w:rPr>
      </w:pPr>
      <w:r>
        <w:rPr>
          <w:lang w:val="en-US"/>
        </w:rPr>
        <w:lastRenderedPageBreak/>
        <w:pict w14:anchorId="5CB3F04D">
          <v:rect id="_x0000_i1028" style="width:0;height:1.5pt" o:hralign="center" o:hrstd="t" o:hr="t" fillcolor="#a0a0a0" stroked="f"/>
        </w:pict>
      </w:r>
    </w:p>
    <w:p w14:paraId="47064D6B" w14:textId="77777777" w:rsidR="008242F0" w:rsidRPr="008242F0" w:rsidRDefault="008242F0" w:rsidP="008242F0">
      <w:pPr>
        <w:rPr>
          <w:b/>
          <w:bCs/>
          <w:lang w:val="en-US"/>
        </w:rPr>
      </w:pPr>
      <w:r w:rsidRPr="008242F0">
        <w:rPr>
          <w:b/>
          <w:bCs/>
          <w:lang w:val="en-US"/>
        </w:rPr>
        <w:t>Section 2.5 – Structure and Drafting Principles for TS 38.101-4</w:t>
      </w:r>
    </w:p>
    <w:p w14:paraId="57D4E0CE" w14:textId="77777777" w:rsidR="008242F0" w:rsidRPr="008242F0" w:rsidRDefault="008242F0" w:rsidP="008242F0">
      <w:pPr>
        <w:numPr>
          <w:ilvl w:val="0"/>
          <w:numId w:val="41"/>
        </w:numPr>
        <w:rPr>
          <w:lang w:val="en-US"/>
        </w:rPr>
      </w:pPr>
      <w:r w:rsidRPr="008242F0">
        <w:rPr>
          <w:b/>
          <w:bCs/>
          <w:lang w:val="en-US"/>
        </w:rPr>
        <w:t>Observation 2.5-1</w:t>
      </w:r>
      <w:r w:rsidRPr="008242F0">
        <w:rPr>
          <w:lang w:val="en-US"/>
        </w:rPr>
        <w:t>:</w:t>
      </w:r>
      <w:r w:rsidRPr="008242F0">
        <w:rPr>
          <w:lang w:val="en-US"/>
        </w:rPr>
        <w:br/>
      </w:r>
      <w:r w:rsidRPr="008242F0">
        <w:rPr>
          <w:i/>
          <w:iCs/>
          <w:lang w:val="en-US"/>
        </w:rPr>
        <w:t>The current structure of applicability rules in TS 38.101-4 is fragmented and sometimes inconsistent across device types, making it difficult for stakeholders to interpret test requirements reliably.</w:t>
      </w:r>
    </w:p>
    <w:p w14:paraId="1CC11DFF" w14:textId="77777777" w:rsidR="008242F0" w:rsidRPr="008242F0" w:rsidRDefault="008242F0" w:rsidP="008242F0">
      <w:pPr>
        <w:numPr>
          <w:ilvl w:val="0"/>
          <w:numId w:val="41"/>
        </w:numPr>
        <w:rPr>
          <w:lang w:val="en-US"/>
        </w:rPr>
      </w:pPr>
      <w:r w:rsidRPr="008242F0">
        <w:rPr>
          <w:b/>
          <w:bCs/>
          <w:lang w:val="en-US"/>
        </w:rPr>
        <w:t>Proposal 2.5-1</w:t>
      </w:r>
      <w:r w:rsidRPr="008242F0">
        <w:rPr>
          <w:lang w:val="en-US"/>
        </w:rPr>
        <w:t>:</w:t>
      </w:r>
      <w:r w:rsidRPr="008242F0">
        <w:rPr>
          <w:lang w:val="en-US"/>
        </w:rPr>
        <w:br/>
      </w:r>
      <w:r w:rsidRPr="008242F0">
        <w:rPr>
          <w:i/>
          <w:iCs/>
          <w:lang w:val="en-US"/>
        </w:rPr>
        <w:t>RAN4 should discuss improving Demodulation spec in 6GR by replacing broad applicability statements with clear, centralized mappings of test coverage.</w:t>
      </w:r>
    </w:p>
    <w:p w14:paraId="37A88D57" w14:textId="77777777" w:rsidR="008242F0" w:rsidRPr="008242F0" w:rsidRDefault="008242F0" w:rsidP="008242F0">
      <w:pPr>
        <w:numPr>
          <w:ilvl w:val="0"/>
          <w:numId w:val="41"/>
        </w:numPr>
        <w:rPr>
          <w:lang w:val="en-US"/>
        </w:rPr>
      </w:pPr>
      <w:r w:rsidRPr="008242F0">
        <w:rPr>
          <w:b/>
          <w:bCs/>
          <w:lang w:val="en-US"/>
        </w:rPr>
        <w:t>Observation 2.5-2</w:t>
      </w:r>
      <w:r w:rsidRPr="008242F0">
        <w:rPr>
          <w:lang w:val="en-US"/>
        </w:rPr>
        <w:t>:</w:t>
      </w:r>
      <w:r w:rsidRPr="008242F0">
        <w:rPr>
          <w:lang w:val="en-US"/>
        </w:rPr>
        <w:br/>
      </w:r>
      <w:r w:rsidRPr="008242F0">
        <w:rPr>
          <w:i/>
          <w:iCs/>
          <w:lang w:val="en-US"/>
        </w:rPr>
        <w:t>RAN4 is defining performance requirements for emerging device types, recognizing that some devices may support TN functionality while others may operate independently without supporting it.</w:t>
      </w:r>
    </w:p>
    <w:p w14:paraId="584303F1" w14:textId="77777777" w:rsidR="008242F0" w:rsidRPr="008242F0" w:rsidRDefault="008242F0" w:rsidP="008242F0">
      <w:pPr>
        <w:numPr>
          <w:ilvl w:val="0"/>
          <w:numId w:val="41"/>
        </w:numPr>
        <w:rPr>
          <w:lang w:val="en-US"/>
        </w:rPr>
      </w:pPr>
      <w:r w:rsidRPr="008242F0">
        <w:rPr>
          <w:b/>
          <w:bCs/>
          <w:lang w:val="en-US"/>
        </w:rPr>
        <w:t>Proposal 2.5-2</w:t>
      </w:r>
      <w:r w:rsidRPr="008242F0">
        <w:rPr>
          <w:lang w:val="en-US"/>
        </w:rPr>
        <w:t>:</w:t>
      </w:r>
      <w:r w:rsidRPr="008242F0">
        <w:rPr>
          <w:lang w:val="en-US"/>
        </w:rPr>
        <w:br/>
      </w:r>
      <w:r w:rsidRPr="008242F0">
        <w:rPr>
          <w:i/>
          <w:iCs/>
          <w:lang w:val="en-US"/>
        </w:rPr>
        <w:t>RAN4 should implement a capability-aware test applicability framework that considers device functionality. For devices lacking legacy TN support, test applicability should be designed to avoid dependency on TN-related procedures and corresponding test cases.</w:t>
      </w:r>
    </w:p>
    <w:p w14:paraId="1DFB1D61" w14:textId="77777777" w:rsidR="008242F0" w:rsidRPr="008242F0" w:rsidRDefault="00000000" w:rsidP="008242F0">
      <w:pPr>
        <w:rPr>
          <w:lang w:val="en-US"/>
        </w:rPr>
      </w:pPr>
      <w:r>
        <w:rPr>
          <w:lang w:val="en-US"/>
        </w:rPr>
        <w:pict w14:anchorId="7E1698C1">
          <v:rect id="_x0000_i1029" style="width:0;height:1.5pt" o:hralign="center" o:hrstd="t" o:hr="t" fillcolor="#a0a0a0" stroked="f"/>
        </w:pict>
      </w:r>
    </w:p>
    <w:p w14:paraId="45A2CA23" w14:textId="77777777" w:rsidR="008242F0" w:rsidRPr="008242F0" w:rsidRDefault="008242F0" w:rsidP="008242F0">
      <w:pPr>
        <w:rPr>
          <w:b/>
          <w:bCs/>
          <w:lang w:val="en-US"/>
        </w:rPr>
      </w:pPr>
      <w:r w:rsidRPr="008242F0">
        <w:rPr>
          <w:b/>
          <w:bCs/>
          <w:lang w:val="en-US"/>
        </w:rPr>
        <w:t>Section 2.6 – Structure and Drafting Principles for TS 38.133</w:t>
      </w:r>
    </w:p>
    <w:p w14:paraId="11316786" w14:textId="77777777" w:rsidR="008242F0" w:rsidRPr="008242F0" w:rsidRDefault="008242F0" w:rsidP="008242F0">
      <w:pPr>
        <w:numPr>
          <w:ilvl w:val="0"/>
          <w:numId w:val="42"/>
        </w:numPr>
        <w:rPr>
          <w:lang w:val="en-US"/>
        </w:rPr>
      </w:pPr>
      <w:r w:rsidRPr="008242F0">
        <w:rPr>
          <w:b/>
          <w:bCs/>
          <w:lang w:val="en-US"/>
        </w:rPr>
        <w:t>Proposal 2.6-1</w:t>
      </w:r>
      <w:r w:rsidRPr="008242F0">
        <w:rPr>
          <w:lang w:val="en-US"/>
        </w:rPr>
        <w:t>:</w:t>
      </w:r>
      <w:r w:rsidRPr="008242F0">
        <w:rPr>
          <w:lang w:val="en-US"/>
        </w:rPr>
        <w:br/>
      </w:r>
      <w:r w:rsidRPr="008242F0">
        <w:rPr>
          <w:i/>
          <w:iCs/>
          <w:lang w:val="en-US"/>
        </w:rPr>
        <w:t>The 6G RRM spec should follow the agreements for RRM specification improvement made in R4-2420107.</w:t>
      </w:r>
    </w:p>
    <w:p w14:paraId="2F5D4C1C" w14:textId="77777777" w:rsidR="008242F0" w:rsidRPr="008242F0" w:rsidRDefault="008242F0" w:rsidP="008242F0">
      <w:pPr>
        <w:numPr>
          <w:ilvl w:val="0"/>
          <w:numId w:val="42"/>
        </w:numPr>
        <w:rPr>
          <w:lang w:val="en-US"/>
        </w:rPr>
      </w:pPr>
      <w:r w:rsidRPr="008242F0">
        <w:rPr>
          <w:b/>
          <w:bCs/>
          <w:lang w:val="en-US"/>
        </w:rPr>
        <w:t>Proposal 2.6-2</w:t>
      </w:r>
      <w:r w:rsidRPr="008242F0">
        <w:rPr>
          <w:lang w:val="en-US"/>
        </w:rPr>
        <w:t>:</w:t>
      </w:r>
      <w:r w:rsidRPr="008242F0">
        <w:rPr>
          <w:lang w:val="en-US"/>
        </w:rPr>
        <w:br/>
      </w:r>
      <w:r w:rsidRPr="008242F0">
        <w:rPr>
          <w:i/>
          <w:iCs/>
          <w:lang w:val="en-US"/>
        </w:rPr>
        <w:t>The 6G RRM specification should adopt RAN2 pseudo-code approach in all sections.</w:t>
      </w:r>
    </w:p>
    <w:p w14:paraId="293D8C24" w14:textId="77777777" w:rsidR="008242F0" w:rsidRPr="008242F0" w:rsidRDefault="008242F0" w:rsidP="008242F0">
      <w:pPr>
        <w:numPr>
          <w:ilvl w:val="0"/>
          <w:numId w:val="42"/>
        </w:numPr>
        <w:rPr>
          <w:lang w:val="en-US"/>
        </w:rPr>
      </w:pPr>
      <w:r w:rsidRPr="008242F0">
        <w:rPr>
          <w:b/>
          <w:bCs/>
          <w:lang w:val="en-US"/>
        </w:rPr>
        <w:t>Proposal 2.6-3</w:t>
      </w:r>
      <w:r w:rsidRPr="008242F0">
        <w:rPr>
          <w:lang w:val="en-US"/>
        </w:rPr>
        <w:t>:</w:t>
      </w:r>
      <w:r w:rsidRPr="008242F0">
        <w:rPr>
          <w:lang w:val="en-US"/>
        </w:rPr>
        <w:br/>
      </w:r>
      <w:r w:rsidRPr="008242F0">
        <w:rPr>
          <w:i/>
          <w:iCs/>
          <w:lang w:val="en-US"/>
        </w:rPr>
        <w:t>The following drafting principles agreed in Rel-19 should be applied for the 6G RRM specification:</w:t>
      </w:r>
    </w:p>
    <w:p w14:paraId="3935FCDF" w14:textId="77777777" w:rsidR="008242F0" w:rsidRPr="008242F0" w:rsidRDefault="008242F0" w:rsidP="008242F0">
      <w:pPr>
        <w:numPr>
          <w:ilvl w:val="1"/>
          <w:numId w:val="42"/>
        </w:numPr>
        <w:rPr>
          <w:lang w:val="en-US"/>
        </w:rPr>
      </w:pPr>
      <w:r w:rsidRPr="008242F0">
        <w:rPr>
          <w:i/>
          <w:iCs/>
          <w:lang w:val="en-US"/>
        </w:rPr>
        <w:t>Put conditions before requirements.</w:t>
      </w:r>
    </w:p>
    <w:p w14:paraId="6732CEE7" w14:textId="77777777" w:rsidR="008242F0" w:rsidRPr="008242F0" w:rsidRDefault="008242F0" w:rsidP="008242F0">
      <w:pPr>
        <w:numPr>
          <w:ilvl w:val="1"/>
          <w:numId w:val="42"/>
        </w:numPr>
        <w:rPr>
          <w:lang w:val="en-US"/>
        </w:rPr>
      </w:pPr>
      <w:r w:rsidRPr="008242F0">
        <w:rPr>
          <w:i/>
          <w:iCs/>
          <w:lang w:val="en-US"/>
        </w:rPr>
        <w:t>Start paragraphs with UE capability when applicable.</w:t>
      </w:r>
    </w:p>
    <w:p w14:paraId="2338503B" w14:textId="77777777" w:rsidR="008242F0" w:rsidRPr="008242F0" w:rsidRDefault="008242F0" w:rsidP="008242F0">
      <w:pPr>
        <w:numPr>
          <w:ilvl w:val="1"/>
          <w:numId w:val="42"/>
        </w:numPr>
        <w:rPr>
          <w:lang w:val="en-US"/>
        </w:rPr>
      </w:pPr>
      <w:r w:rsidRPr="008242F0">
        <w:rPr>
          <w:i/>
          <w:iCs/>
          <w:lang w:val="en-US"/>
        </w:rPr>
        <w:t>Separate new and legacy requirements using “If” and “Else if” structure.</w:t>
      </w:r>
    </w:p>
    <w:p w14:paraId="426AB8E1" w14:textId="77777777" w:rsidR="008242F0" w:rsidRPr="008242F0" w:rsidRDefault="008242F0" w:rsidP="008242F0">
      <w:pPr>
        <w:numPr>
          <w:ilvl w:val="0"/>
          <w:numId w:val="42"/>
        </w:numPr>
        <w:rPr>
          <w:lang w:val="en-US"/>
        </w:rPr>
      </w:pPr>
      <w:r w:rsidRPr="008242F0">
        <w:rPr>
          <w:b/>
          <w:bCs/>
          <w:lang w:val="en-US"/>
        </w:rPr>
        <w:t>Proposal 2.6-4</w:t>
      </w:r>
      <w:r w:rsidRPr="008242F0">
        <w:rPr>
          <w:lang w:val="en-US"/>
        </w:rPr>
        <w:t>:</w:t>
      </w:r>
      <w:r w:rsidRPr="008242F0">
        <w:rPr>
          <w:lang w:val="en-US"/>
        </w:rPr>
        <w:br/>
      </w:r>
      <w:r w:rsidRPr="008242F0">
        <w:rPr>
          <w:i/>
          <w:iCs/>
          <w:lang w:val="en-US"/>
        </w:rPr>
        <w:t>RAN4 should study whether further drafting principles should be defined to enhance readability and document them clearly.</w:t>
      </w:r>
    </w:p>
    <w:p w14:paraId="13437A97" w14:textId="77777777" w:rsidR="008242F0" w:rsidRPr="008242F0" w:rsidRDefault="008242F0" w:rsidP="008242F0">
      <w:pPr>
        <w:numPr>
          <w:ilvl w:val="0"/>
          <w:numId w:val="42"/>
        </w:numPr>
        <w:rPr>
          <w:lang w:val="en-US"/>
        </w:rPr>
      </w:pPr>
      <w:r w:rsidRPr="008242F0">
        <w:rPr>
          <w:b/>
          <w:bCs/>
          <w:lang w:val="en-US"/>
        </w:rPr>
        <w:t>Proposal 2.6-5</w:t>
      </w:r>
      <w:r w:rsidRPr="008242F0">
        <w:rPr>
          <w:lang w:val="en-US"/>
        </w:rPr>
        <w:t>:</w:t>
      </w:r>
      <w:r w:rsidRPr="008242F0">
        <w:rPr>
          <w:lang w:val="en-US"/>
        </w:rPr>
        <w:br/>
      </w:r>
      <w:r w:rsidRPr="008242F0">
        <w:rPr>
          <w:i/>
          <w:iCs/>
          <w:lang w:val="en-US"/>
        </w:rPr>
        <w:t>RAN4 should study in the 6G study item whether the amount of RRM procedures can be reduced. Requirements should only be defined for key RRM procedures.</w:t>
      </w:r>
    </w:p>
    <w:p w14:paraId="37AEE852" w14:textId="096F8998" w:rsidR="002B4B7B" w:rsidRDefault="008242F0">
      <w:r w:rsidRPr="008242F0">
        <w:rPr>
          <w:b/>
          <w:bCs/>
          <w:lang w:val="en-US"/>
        </w:rPr>
        <w:t>Proposal 2.6-6</w:t>
      </w:r>
      <w:r w:rsidRPr="008242F0">
        <w:rPr>
          <w:lang w:val="en-US"/>
        </w:rPr>
        <w:t>:</w:t>
      </w:r>
      <w:r w:rsidRPr="008242F0">
        <w:rPr>
          <w:lang w:val="en-US"/>
        </w:rPr>
        <w:br/>
      </w:r>
      <w:r w:rsidRPr="008242F0">
        <w:rPr>
          <w:i/>
          <w:iCs/>
          <w:lang w:val="en-US"/>
        </w:rPr>
        <w:t>CRs for the 6GR RRM spec should only be accepted if they clearly follow the drafting principles.</w:t>
      </w:r>
    </w:p>
    <w:p w14:paraId="282C968A" w14:textId="77777777" w:rsidR="002B4B7B" w:rsidRPr="00935380" w:rsidRDefault="002B4B7B" w:rsidP="0050421E"/>
    <w:p w14:paraId="13C4F281" w14:textId="0F1152AC" w:rsidR="008D616A" w:rsidRPr="00F569B6" w:rsidRDefault="002B4B7B" w:rsidP="00F569B6">
      <w:pPr>
        <w:pStyle w:val="Heading1"/>
      </w:pPr>
      <w:r>
        <w:lastRenderedPageBreak/>
        <w:t>4.</w:t>
      </w:r>
      <w:r>
        <w:tab/>
      </w:r>
      <w:r w:rsidR="008D616A" w:rsidRPr="00F569B6">
        <w:t>References</w:t>
      </w:r>
    </w:p>
    <w:p w14:paraId="58BC20A8" w14:textId="648510C1" w:rsidR="008D616A" w:rsidRDefault="008D616A" w:rsidP="008D616A">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8D616A">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Pr="008D616A" w:rsidRDefault="009B16AF" w:rsidP="008D616A">
      <w:pPr>
        <w:pStyle w:val="B10"/>
      </w:pPr>
      <w:r>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77273449" w14:textId="289E2576" w:rsidR="00B8704F" w:rsidRPr="008D616A" w:rsidRDefault="003C7A1F" w:rsidP="008D616A">
      <w:pPr>
        <w:pStyle w:val="B10"/>
      </w:pPr>
      <w:r>
        <w:t>[4]</w:t>
      </w:r>
      <w:r>
        <w:tab/>
      </w:r>
      <w:r w:rsidR="00E5418F">
        <w:t>R4-24201</w:t>
      </w:r>
      <w:r w:rsidR="00DC3D34">
        <w:t xml:space="preserve">07, WF for [113][234] </w:t>
      </w:r>
      <w:proofErr w:type="spellStart"/>
      <w:r w:rsidR="00DC3D34">
        <w:t>RRM_Spec_Improvement</w:t>
      </w:r>
      <w:proofErr w:type="spellEnd"/>
      <w:r w:rsidR="00DC3D34">
        <w:t xml:space="preserve">, </w:t>
      </w:r>
      <w:r w:rsidR="003E64F6">
        <w:t xml:space="preserve">RAN4 #113, </w:t>
      </w:r>
      <w:r w:rsidR="00EC09C9">
        <w:t xml:space="preserve">Orlando, US, </w:t>
      </w:r>
      <w:r w:rsidR="00F15588">
        <w:t>Nove</w:t>
      </w:r>
      <w:r w:rsidR="00FB408B">
        <w:t>mber 2024</w:t>
      </w:r>
      <w:r w:rsidR="00DC3D34">
        <w:t xml:space="preserve"> </w:t>
      </w:r>
      <w:r>
        <w:t xml:space="preserve"> </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DF1D41"/>
    <w:multiLevelType w:val="multilevel"/>
    <w:tmpl w:val="07942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BB66C7"/>
    <w:multiLevelType w:val="hybridMultilevel"/>
    <w:tmpl w:val="46EC5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741333"/>
    <w:multiLevelType w:val="multilevel"/>
    <w:tmpl w:val="5B183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D226B2"/>
    <w:multiLevelType w:val="hybridMultilevel"/>
    <w:tmpl w:val="59800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9A1172"/>
    <w:multiLevelType w:val="hybridMultilevel"/>
    <w:tmpl w:val="C9CC4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F5596C"/>
    <w:multiLevelType w:val="hybridMultilevel"/>
    <w:tmpl w:val="94889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955229"/>
    <w:multiLevelType w:val="multilevel"/>
    <w:tmpl w:val="5A562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8B26E8"/>
    <w:multiLevelType w:val="hybridMultilevel"/>
    <w:tmpl w:val="8998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DC3496C"/>
    <w:multiLevelType w:val="multilevel"/>
    <w:tmpl w:val="E89E8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89F6995"/>
    <w:multiLevelType w:val="hybridMultilevel"/>
    <w:tmpl w:val="A120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4503F9"/>
    <w:multiLevelType w:val="multilevel"/>
    <w:tmpl w:val="174AA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BB0133"/>
    <w:multiLevelType w:val="multilevel"/>
    <w:tmpl w:val="7402D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7972CA"/>
    <w:multiLevelType w:val="hybridMultilevel"/>
    <w:tmpl w:val="E95E5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92717994">
    <w:abstractNumId w:val="18"/>
  </w:num>
  <w:num w:numId="2" w16cid:durableId="1437095106">
    <w:abstractNumId w:val="40"/>
  </w:num>
  <w:num w:numId="3" w16cid:durableId="402292199">
    <w:abstractNumId w:val="12"/>
  </w:num>
  <w:num w:numId="4" w16cid:durableId="855727174">
    <w:abstractNumId w:val="29"/>
  </w:num>
  <w:num w:numId="5" w16cid:durableId="1387995662">
    <w:abstractNumId w:val="22"/>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7"/>
  </w:num>
  <w:num w:numId="14" w16cid:durableId="889338562">
    <w:abstractNumId w:val="32"/>
  </w:num>
  <w:num w:numId="15" w16cid:durableId="55858353">
    <w:abstractNumId w:val="25"/>
  </w:num>
  <w:num w:numId="16" w16cid:durableId="1001128480">
    <w:abstractNumId w:val="30"/>
  </w:num>
  <w:num w:numId="17" w16cid:durableId="851070962">
    <w:abstractNumId w:val="16"/>
  </w:num>
  <w:num w:numId="18" w16cid:durableId="995373776">
    <w:abstractNumId w:val="11"/>
  </w:num>
  <w:num w:numId="19" w16cid:durableId="1320769054">
    <w:abstractNumId w:val="14"/>
  </w:num>
  <w:num w:numId="20" w16cid:durableId="1746756135">
    <w:abstractNumId w:val="26"/>
  </w:num>
  <w:num w:numId="21" w16cid:durableId="1214341921">
    <w:abstractNumId w:val="36"/>
  </w:num>
  <w:num w:numId="22" w16cid:durableId="1977253075">
    <w:abstractNumId w:val="23"/>
  </w:num>
  <w:num w:numId="23" w16cid:durableId="758141153">
    <w:abstractNumId w:val="10"/>
  </w:num>
  <w:num w:numId="24" w16cid:durableId="1003704344">
    <w:abstractNumId w:val="24"/>
  </w:num>
  <w:num w:numId="25" w16cid:durableId="1142624534">
    <w:abstractNumId w:val="15"/>
  </w:num>
  <w:num w:numId="26" w16cid:durableId="2055503037">
    <w:abstractNumId w:val="20"/>
  </w:num>
  <w:num w:numId="27" w16cid:durableId="1465925040">
    <w:abstractNumId w:val="33"/>
  </w:num>
  <w:num w:numId="28" w16cid:durableId="1659067940">
    <w:abstractNumId w:val="39"/>
  </w:num>
  <w:num w:numId="29" w16cid:durableId="590553775">
    <w:abstractNumId w:val="41"/>
  </w:num>
  <w:num w:numId="30" w16cid:durableId="857892660">
    <w:abstractNumId w:val="8"/>
  </w:num>
  <w:num w:numId="31" w16cid:durableId="1382553056">
    <w:abstractNumId w:val="34"/>
  </w:num>
  <w:num w:numId="32" w16cid:durableId="1352099065">
    <w:abstractNumId w:val="38"/>
  </w:num>
  <w:num w:numId="33" w16cid:durableId="933637357">
    <w:abstractNumId w:val="21"/>
  </w:num>
  <w:num w:numId="34" w16cid:durableId="1806042283">
    <w:abstractNumId w:val="28"/>
  </w:num>
  <w:num w:numId="35" w16cid:durableId="1679233698">
    <w:abstractNumId w:val="13"/>
  </w:num>
  <w:num w:numId="36" w16cid:durableId="584607378">
    <w:abstractNumId w:val="19"/>
  </w:num>
  <w:num w:numId="37" w16cid:durableId="2117862876">
    <w:abstractNumId w:val="37"/>
  </w:num>
  <w:num w:numId="38" w16cid:durableId="606349803">
    <w:abstractNumId w:val="9"/>
  </w:num>
  <w:num w:numId="39" w16cid:durableId="1806308989">
    <w:abstractNumId w:val="31"/>
  </w:num>
  <w:num w:numId="40" w16cid:durableId="926307378">
    <w:abstractNumId w:val="35"/>
  </w:num>
  <w:num w:numId="41" w16cid:durableId="1225415232">
    <w:abstractNumId w:val="27"/>
  </w:num>
  <w:num w:numId="42" w16cid:durableId="3301774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395E"/>
    <w:rsid w:val="00035FEC"/>
    <w:rsid w:val="00040EB5"/>
    <w:rsid w:val="00042206"/>
    <w:rsid w:val="00044554"/>
    <w:rsid w:val="00056FCD"/>
    <w:rsid w:val="00057C34"/>
    <w:rsid w:val="00061CFF"/>
    <w:rsid w:val="00062096"/>
    <w:rsid w:val="00072AFC"/>
    <w:rsid w:val="00074BDD"/>
    <w:rsid w:val="00090AED"/>
    <w:rsid w:val="00090DAE"/>
    <w:rsid w:val="00092208"/>
    <w:rsid w:val="00093EE3"/>
    <w:rsid w:val="00094C14"/>
    <w:rsid w:val="00097585"/>
    <w:rsid w:val="000B5D85"/>
    <w:rsid w:val="000C45C2"/>
    <w:rsid w:val="000F27C6"/>
    <w:rsid w:val="0011132A"/>
    <w:rsid w:val="001153E5"/>
    <w:rsid w:val="00131BE1"/>
    <w:rsid w:val="0013684F"/>
    <w:rsid w:val="00142A50"/>
    <w:rsid w:val="0016320D"/>
    <w:rsid w:val="00164390"/>
    <w:rsid w:val="0016545B"/>
    <w:rsid w:val="00165E55"/>
    <w:rsid w:val="0016761D"/>
    <w:rsid w:val="00173470"/>
    <w:rsid w:val="00174558"/>
    <w:rsid w:val="001751A2"/>
    <w:rsid w:val="00175252"/>
    <w:rsid w:val="00192CF9"/>
    <w:rsid w:val="00193880"/>
    <w:rsid w:val="001A67F0"/>
    <w:rsid w:val="001B43A9"/>
    <w:rsid w:val="001D6D09"/>
    <w:rsid w:val="001E0286"/>
    <w:rsid w:val="001E1B05"/>
    <w:rsid w:val="001E29AF"/>
    <w:rsid w:val="001F2AC3"/>
    <w:rsid w:val="00237149"/>
    <w:rsid w:val="00246032"/>
    <w:rsid w:val="0026408D"/>
    <w:rsid w:val="002739C9"/>
    <w:rsid w:val="00274723"/>
    <w:rsid w:val="00280517"/>
    <w:rsid w:val="00290FC0"/>
    <w:rsid w:val="002A4D3A"/>
    <w:rsid w:val="002A6C85"/>
    <w:rsid w:val="002B0E6B"/>
    <w:rsid w:val="002B4B62"/>
    <w:rsid w:val="002B4B7B"/>
    <w:rsid w:val="002C75E7"/>
    <w:rsid w:val="002D6B38"/>
    <w:rsid w:val="002E3C3D"/>
    <w:rsid w:val="002E5654"/>
    <w:rsid w:val="003032A9"/>
    <w:rsid w:val="00323118"/>
    <w:rsid w:val="003237CB"/>
    <w:rsid w:val="003267DA"/>
    <w:rsid w:val="00327E6D"/>
    <w:rsid w:val="00334258"/>
    <w:rsid w:val="00334FCE"/>
    <w:rsid w:val="00354B2F"/>
    <w:rsid w:val="00354E50"/>
    <w:rsid w:val="0036688B"/>
    <w:rsid w:val="00385771"/>
    <w:rsid w:val="00397677"/>
    <w:rsid w:val="003B090D"/>
    <w:rsid w:val="003B1C4A"/>
    <w:rsid w:val="003B5792"/>
    <w:rsid w:val="003C0822"/>
    <w:rsid w:val="003C3F76"/>
    <w:rsid w:val="003C7A1F"/>
    <w:rsid w:val="003D354D"/>
    <w:rsid w:val="003D5124"/>
    <w:rsid w:val="003D758C"/>
    <w:rsid w:val="003E64F6"/>
    <w:rsid w:val="003F6545"/>
    <w:rsid w:val="00402587"/>
    <w:rsid w:val="004063B3"/>
    <w:rsid w:val="0043032A"/>
    <w:rsid w:val="00440E5C"/>
    <w:rsid w:val="004469CC"/>
    <w:rsid w:val="00451D5D"/>
    <w:rsid w:val="0045639E"/>
    <w:rsid w:val="00462E35"/>
    <w:rsid w:val="00470495"/>
    <w:rsid w:val="00486165"/>
    <w:rsid w:val="004A3C90"/>
    <w:rsid w:val="004D7D65"/>
    <w:rsid w:val="004E0E98"/>
    <w:rsid w:val="004E1B43"/>
    <w:rsid w:val="004E3F3F"/>
    <w:rsid w:val="004E5F6C"/>
    <w:rsid w:val="004F04A6"/>
    <w:rsid w:val="004F23D5"/>
    <w:rsid w:val="0050421E"/>
    <w:rsid w:val="00505833"/>
    <w:rsid w:val="005071B5"/>
    <w:rsid w:val="00515166"/>
    <w:rsid w:val="005371DF"/>
    <w:rsid w:val="0055297F"/>
    <w:rsid w:val="005575C9"/>
    <w:rsid w:val="005773E7"/>
    <w:rsid w:val="00593586"/>
    <w:rsid w:val="00595063"/>
    <w:rsid w:val="005A083D"/>
    <w:rsid w:val="005A103C"/>
    <w:rsid w:val="005D04ED"/>
    <w:rsid w:val="005E1D0C"/>
    <w:rsid w:val="005E5745"/>
    <w:rsid w:val="005F783D"/>
    <w:rsid w:val="00601EA1"/>
    <w:rsid w:val="00621AA2"/>
    <w:rsid w:val="00630DDE"/>
    <w:rsid w:val="00641B34"/>
    <w:rsid w:val="0065676F"/>
    <w:rsid w:val="00664FE1"/>
    <w:rsid w:val="00666477"/>
    <w:rsid w:val="00672E06"/>
    <w:rsid w:val="006778BF"/>
    <w:rsid w:val="00691865"/>
    <w:rsid w:val="006A3F83"/>
    <w:rsid w:val="006B6FD2"/>
    <w:rsid w:val="006B7B2C"/>
    <w:rsid w:val="006C069B"/>
    <w:rsid w:val="006C7F1F"/>
    <w:rsid w:val="006D1D6C"/>
    <w:rsid w:val="006D78E0"/>
    <w:rsid w:val="006E0459"/>
    <w:rsid w:val="006E4172"/>
    <w:rsid w:val="006E4307"/>
    <w:rsid w:val="006E7E53"/>
    <w:rsid w:val="0070268B"/>
    <w:rsid w:val="00713621"/>
    <w:rsid w:val="00716191"/>
    <w:rsid w:val="0072381A"/>
    <w:rsid w:val="0072719C"/>
    <w:rsid w:val="00732032"/>
    <w:rsid w:val="0073213A"/>
    <w:rsid w:val="00734D95"/>
    <w:rsid w:val="007410A7"/>
    <w:rsid w:val="00742022"/>
    <w:rsid w:val="007422C2"/>
    <w:rsid w:val="007518B7"/>
    <w:rsid w:val="00785B46"/>
    <w:rsid w:val="00793143"/>
    <w:rsid w:val="00793A21"/>
    <w:rsid w:val="007A047B"/>
    <w:rsid w:val="007A3AFB"/>
    <w:rsid w:val="007A4A73"/>
    <w:rsid w:val="007A7462"/>
    <w:rsid w:val="007B3A9C"/>
    <w:rsid w:val="007B7567"/>
    <w:rsid w:val="007C4F61"/>
    <w:rsid w:val="007D087F"/>
    <w:rsid w:val="007D373D"/>
    <w:rsid w:val="007D7E0D"/>
    <w:rsid w:val="007E46FE"/>
    <w:rsid w:val="008103E6"/>
    <w:rsid w:val="00810AB4"/>
    <w:rsid w:val="008242F0"/>
    <w:rsid w:val="00824CDB"/>
    <w:rsid w:val="00842E5E"/>
    <w:rsid w:val="008430EF"/>
    <w:rsid w:val="008444F2"/>
    <w:rsid w:val="00847F24"/>
    <w:rsid w:val="00873552"/>
    <w:rsid w:val="00881769"/>
    <w:rsid w:val="00887722"/>
    <w:rsid w:val="008961C8"/>
    <w:rsid w:val="00897A74"/>
    <w:rsid w:val="008B3530"/>
    <w:rsid w:val="008D21B4"/>
    <w:rsid w:val="008D5284"/>
    <w:rsid w:val="008D616A"/>
    <w:rsid w:val="008E2537"/>
    <w:rsid w:val="008E5C95"/>
    <w:rsid w:val="008E6027"/>
    <w:rsid w:val="008E7E06"/>
    <w:rsid w:val="008F3268"/>
    <w:rsid w:val="00904960"/>
    <w:rsid w:val="009222E6"/>
    <w:rsid w:val="00926730"/>
    <w:rsid w:val="00931104"/>
    <w:rsid w:val="00935380"/>
    <w:rsid w:val="00941920"/>
    <w:rsid w:val="00944918"/>
    <w:rsid w:val="0096478A"/>
    <w:rsid w:val="009712F3"/>
    <w:rsid w:val="009845CE"/>
    <w:rsid w:val="009878D7"/>
    <w:rsid w:val="00991E9E"/>
    <w:rsid w:val="009928F2"/>
    <w:rsid w:val="009960D7"/>
    <w:rsid w:val="009A0537"/>
    <w:rsid w:val="009B16AF"/>
    <w:rsid w:val="009B2111"/>
    <w:rsid w:val="009D2FD1"/>
    <w:rsid w:val="009D7D6C"/>
    <w:rsid w:val="009E06F6"/>
    <w:rsid w:val="009F7F21"/>
    <w:rsid w:val="00A02A1C"/>
    <w:rsid w:val="00A03D11"/>
    <w:rsid w:val="00A2444D"/>
    <w:rsid w:val="00A3548A"/>
    <w:rsid w:val="00A568C2"/>
    <w:rsid w:val="00A8667C"/>
    <w:rsid w:val="00A93826"/>
    <w:rsid w:val="00A94E01"/>
    <w:rsid w:val="00A97AD1"/>
    <w:rsid w:val="00AB5BE1"/>
    <w:rsid w:val="00AC0626"/>
    <w:rsid w:val="00AC16D0"/>
    <w:rsid w:val="00B00C08"/>
    <w:rsid w:val="00B23AEA"/>
    <w:rsid w:val="00B262D6"/>
    <w:rsid w:val="00B26D9D"/>
    <w:rsid w:val="00B40828"/>
    <w:rsid w:val="00B45938"/>
    <w:rsid w:val="00B5337F"/>
    <w:rsid w:val="00B56D4B"/>
    <w:rsid w:val="00B63AC3"/>
    <w:rsid w:val="00B73890"/>
    <w:rsid w:val="00B81045"/>
    <w:rsid w:val="00B83625"/>
    <w:rsid w:val="00B8704F"/>
    <w:rsid w:val="00B92BB8"/>
    <w:rsid w:val="00B93D3D"/>
    <w:rsid w:val="00BB0C48"/>
    <w:rsid w:val="00BB6795"/>
    <w:rsid w:val="00BC7860"/>
    <w:rsid w:val="00BD5ADB"/>
    <w:rsid w:val="00BD5D6B"/>
    <w:rsid w:val="00BE356C"/>
    <w:rsid w:val="00BF5DB1"/>
    <w:rsid w:val="00BF6359"/>
    <w:rsid w:val="00C00F35"/>
    <w:rsid w:val="00C041C0"/>
    <w:rsid w:val="00C1649E"/>
    <w:rsid w:val="00C22EE2"/>
    <w:rsid w:val="00C31CBD"/>
    <w:rsid w:val="00C32D9C"/>
    <w:rsid w:val="00C34659"/>
    <w:rsid w:val="00C400C5"/>
    <w:rsid w:val="00C760C7"/>
    <w:rsid w:val="00C76FB8"/>
    <w:rsid w:val="00C84840"/>
    <w:rsid w:val="00C90579"/>
    <w:rsid w:val="00C93F74"/>
    <w:rsid w:val="00CA00A1"/>
    <w:rsid w:val="00CA1F46"/>
    <w:rsid w:val="00CA315D"/>
    <w:rsid w:val="00CA3855"/>
    <w:rsid w:val="00CD0CDF"/>
    <w:rsid w:val="00CD13E6"/>
    <w:rsid w:val="00CD3F8A"/>
    <w:rsid w:val="00CF14E5"/>
    <w:rsid w:val="00D022D8"/>
    <w:rsid w:val="00D0660A"/>
    <w:rsid w:val="00D219DE"/>
    <w:rsid w:val="00D23B3B"/>
    <w:rsid w:val="00D4437E"/>
    <w:rsid w:val="00D51BC2"/>
    <w:rsid w:val="00D534CB"/>
    <w:rsid w:val="00D57499"/>
    <w:rsid w:val="00D8272E"/>
    <w:rsid w:val="00DA205E"/>
    <w:rsid w:val="00DB4ADA"/>
    <w:rsid w:val="00DB5A8B"/>
    <w:rsid w:val="00DC3D34"/>
    <w:rsid w:val="00DC702E"/>
    <w:rsid w:val="00DD159A"/>
    <w:rsid w:val="00DD2940"/>
    <w:rsid w:val="00DF16BD"/>
    <w:rsid w:val="00DF7920"/>
    <w:rsid w:val="00E03CE5"/>
    <w:rsid w:val="00E201E5"/>
    <w:rsid w:val="00E246BE"/>
    <w:rsid w:val="00E34060"/>
    <w:rsid w:val="00E43B23"/>
    <w:rsid w:val="00E5418F"/>
    <w:rsid w:val="00E56D73"/>
    <w:rsid w:val="00E67F70"/>
    <w:rsid w:val="00E74A30"/>
    <w:rsid w:val="00E7752C"/>
    <w:rsid w:val="00E80329"/>
    <w:rsid w:val="00E863F6"/>
    <w:rsid w:val="00E93C78"/>
    <w:rsid w:val="00EA1F06"/>
    <w:rsid w:val="00EB03AF"/>
    <w:rsid w:val="00EB387E"/>
    <w:rsid w:val="00EC09C9"/>
    <w:rsid w:val="00ED5C35"/>
    <w:rsid w:val="00EF0082"/>
    <w:rsid w:val="00EF4A2E"/>
    <w:rsid w:val="00EF4E97"/>
    <w:rsid w:val="00F040FB"/>
    <w:rsid w:val="00F15588"/>
    <w:rsid w:val="00F36E2C"/>
    <w:rsid w:val="00F40EF6"/>
    <w:rsid w:val="00F43ACE"/>
    <w:rsid w:val="00F569B6"/>
    <w:rsid w:val="00F64237"/>
    <w:rsid w:val="00F65BA1"/>
    <w:rsid w:val="00F80DE5"/>
    <w:rsid w:val="00F8728D"/>
    <w:rsid w:val="00F97957"/>
    <w:rsid w:val="00FA23A7"/>
    <w:rsid w:val="00FA53EE"/>
    <w:rsid w:val="00FA5701"/>
    <w:rsid w:val="00FB1D92"/>
    <w:rsid w:val="00FB3583"/>
    <w:rsid w:val="00FB408B"/>
    <w:rsid w:val="00FB4293"/>
    <w:rsid w:val="00FC0708"/>
    <w:rsid w:val="00FC6BC9"/>
    <w:rsid w:val="00FD6E3C"/>
    <w:rsid w:val="00FF2C89"/>
    <w:rsid w:val="00FF390D"/>
    <w:rsid w:val="00FF7BEF"/>
    <w:rsid w:val="09172BB7"/>
    <w:rsid w:val="09FFBF2E"/>
    <w:rsid w:val="0ADF562D"/>
    <w:rsid w:val="0C91A398"/>
    <w:rsid w:val="0CCB4359"/>
    <w:rsid w:val="10D83A40"/>
    <w:rsid w:val="114387B8"/>
    <w:rsid w:val="130C36A5"/>
    <w:rsid w:val="13C3F2DD"/>
    <w:rsid w:val="15DA1EB6"/>
    <w:rsid w:val="23A15404"/>
    <w:rsid w:val="373C99B6"/>
    <w:rsid w:val="38B17CF4"/>
    <w:rsid w:val="393E021E"/>
    <w:rsid w:val="3EAE55A9"/>
    <w:rsid w:val="44963AAF"/>
    <w:rsid w:val="4B02DE81"/>
    <w:rsid w:val="5AE72408"/>
    <w:rsid w:val="62A57446"/>
    <w:rsid w:val="6E9893BC"/>
    <w:rsid w:val="73A41709"/>
    <w:rsid w:val="7A2CEC53"/>
    <w:rsid w:val="7E2D6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F2F91003-B8CF-4A00-A598-15400BA0F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character" w:styleId="CommentReference">
    <w:name w:val="annotation reference"/>
    <w:basedOn w:val="DefaultParagraphFont"/>
    <w:uiPriority w:val="99"/>
    <w:semiHidden/>
    <w:unhideWhenUsed/>
    <w:rsid w:val="00BD5D6B"/>
    <w:rPr>
      <w:sz w:val="16"/>
      <w:szCs w:val="16"/>
    </w:rPr>
  </w:style>
  <w:style w:type="paragraph" w:styleId="Revision">
    <w:name w:val="Revision"/>
    <w:hidden/>
    <w:uiPriority w:val="99"/>
    <w:semiHidden/>
    <w:rsid w:val="00D23B3B"/>
    <w:rPr>
      <w:lang w:val="en-GB" w:eastAsia="ko-KR"/>
    </w:rPr>
  </w:style>
  <w:style w:type="character" w:styleId="Hyperlink">
    <w:name w:val="Hyperlink"/>
    <w:basedOn w:val="DefaultParagraphFont"/>
    <w:uiPriority w:val="99"/>
    <w:unhideWhenUsed/>
    <w:rsid w:val="00D23B3B"/>
    <w:rPr>
      <w:color w:val="0000FF" w:themeColor="hyperlink"/>
      <w:u w:val="single"/>
    </w:rPr>
  </w:style>
  <w:style w:type="character" w:styleId="UnresolvedMention">
    <w:name w:val="Unresolved Mention"/>
    <w:basedOn w:val="DefaultParagraphFont"/>
    <w:uiPriority w:val="99"/>
    <w:semiHidden/>
    <w:unhideWhenUsed/>
    <w:rsid w:val="00D23B3B"/>
    <w:rPr>
      <w:color w:val="605E5C"/>
      <w:shd w:val="clear" w:color="auto" w:fill="E1DFDD"/>
    </w:rPr>
  </w:style>
  <w:style w:type="paragraph" w:styleId="ListParagraph">
    <w:name w:val="List Paragraph"/>
    <w:basedOn w:val="Normal"/>
    <w:uiPriority w:val="34"/>
    <w:qFormat/>
    <w:rsid w:val="00D23B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90246">
      <w:bodyDiv w:val="1"/>
      <w:marLeft w:val="0"/>
      <w:marRight w:val="0"/>
      <w:marTop w:val="0"/>
      <w:marBottom w:val="0"/>
      <w:divBdr>
        <w:top w:val="none" w:sz="0" w:space="0" w:color="auto"/>
        <w:left w:val="none" w:sz="0" w:space="0" w:color="auto"/>
        <w:bottom w:val="none" w:sz="0" w:space="0" w:color="auto"/>
        <w:right w:val="none" w:sz="0" w:space="0" w:color="auto"/>
      </w:divBdr>
      <w:divsChild>
        <w:div w:id="589968848">
          <w:marLeft w:val="0"/>
          <w:marRight w:val="0"/>
          <w:marTop w:val="0"/>
          <w:marBottom w:val="0"/>
          <w:divBdr>
            <w:top w:val="none" w:sz="0" w:space="0" w:color="auto"/>
            <w:left w:val="none" w:sz="0" w:space="0" w:color="auto"/>
            <w:bottom w:val="none" w:sz="0" w:space="0" w:color="auto"/>
            <w:right w:val="none" w:sz="0" w:space="0" w:color="auto"/>
          </w:divBdr>
          <w:divsChild>
            <w:div w:id="1452672605">
              <w:marLeft w:val="0"/>
              <w:marRight w:val="0"/>
              <w:marTop w:val="0"/>
              <w:marBottom w:val="0"/>
              <w:divBdr>
                <w:top w:val="none" w:sz="0" w:space="0" w:color="auto"/>
                <w:left w:val="none" w:sz="0" w:space="0" w:color="auto"/>
                <w:bottom w:val="none" w:sz="0" w:space="0" w:color="auto"/>
                <w:right w:val="none" w:sz="0" w:space="0" w:color="auto"/>
              </w:divBdr>
              <w:divsChild>
                <w:div w:id="1050421700">
                  <w:marLeft w:val="0"/>
                  <w:marRight w:val="0"/>
                  <w:marTop w:val="0"/>
                  <w:marBottom w:val="0"/>
                  <w:divBdr>
                    <w:top w:val="none" w:sz="0" w:space="0" w:color="auto"/>
                    <w:left w:val="none" w:sz="0" w:space="0" w:color="auto"/>
                    <w:bottom w:val="none" w:sz="0" w:space="0" w:color="auto"/>
                    <w:right w:val="none" w:sz="0" w:space="0" w:color="auto"/>
                  </w:divBdr>
                  <w:divsChild>
                    <w:div w:id="317273490">
                      <w:marLeft w:val="0"/>
                      <w:marRight w:val="0"/>
                      <w:marTop w:val="0"/>
                      <w:marBottom w:val="0"/>
                      <w:divBdr>
                        <w:top w:val="none" w:sz="0" w:space="0" w:color="auto"/>
                        <w:left w:val="none" w:sz="0" w:space="0" w:color="auto"/>
                        <w:bottom w:val="none" w:sz="0" w:space="0" w:color="auto"/>
                        <w:right w:val="none" w:sz="0" w:space="0" w:color="auto"/>
                      </w:divBdr>
                      <w:divsChild>
                        <w:div w:id="170872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0144239">
      <w:bodyDiv w:val="1"/>
      <w:marLeft w:val="0"/>
      <w:marRight w:val="0"/>
      <w:marTop w:val="0"/>
      <w:marBottom w:val="0"/>
      <w:divBdr>
        <w:top w:val="none" w:sz="0" w:space="0" w:color="auto"/>
        <w:left w:val="none" w:sz="0" w:space="0" w:color="auto"/>
        <w:bottom w:val="none" w:sz="0" w:space="0" w:color="auto"/>
        <w:right w:val="none" w:sz="0" w:space="0" w:color="auto"/>
      </w:divBdr>
    </w:div>
    <w:div w:id="879246678">
      <w:bodyDiv w:val="1"/>
      <w:marLeft w:val="0"/>
      <w:marRight w:val="0"/>
      <w:marTop w:val="0"/>
      <w:marBottom w:val="0"/>
      <w:divBdr>
        <w:top w:val="none" w:sz="0" w:space="0" w:color="auto"/>
        <w:left w:val="none" w:sz="0" w:space="0" w:color="auto"/>
        <w:bottom w:val="none" w:sz="0" w:space="0" w:color="auto"/>
        <w:right w:val="none" w:sz="0" w:space="0" w:color="auto"/>
      </w:divBdr>
    </w:div>
    <w:div w:id="900871968">
      <w:bodyDiv w:val="1"/>
      <w:marLeft w:val="0"/>
      <w:marRight w:val="0"/>
      <w:marTop w:val="0"/>
      <w:marBottom w:val="0"/>
      <w:divBdr>
        <w:top w:val="none" w:sz="0" w:space="0" w:color="auto"/>
        <w:left w:val="none" w:sz="0" w:space="0" w:color="auto"/>
        <w:bottom w:val="none" w:sz="0" w:space="0" w:color="auto"/>
        <w:right w:val="none" w:sz="0" w:space="0" w:color="auto"/>
      </w:divBdr>
    </w:div>
    <w:div w:id="1479223250">
      <w:bodyDiv w:val="1"/>
      <w:marLeft w:val="0"/>
      <w:marRight w:val="0"/>
      <w:marTop w:val="0"/>
      <w:marBottom w:val="0"/>
      <w:divBdr>
        <w:top w:val="none" w:sz="0" w:space="0" w:color="auto"/>
        <w:left w:val="none" w:sz="0" w:space="0" w:color="auto"/>
        <w:bottom w:val="none" w:sz="0" w:space="0" w:color="auto"/>
        <w:right w:val="none" w:sz="0" w:space="0" w:color="auto"/>
      </w:divBdr>
    </w:div>
    <w:div w:id="1998268221">
      <w:bodyDiv w:val="1"/>
      <w:marLeft w:val="0"/>
      <w:marRight w:val="0"/>
      <w:marTop w:val="0"/>
      <w:marBottom w:val="0"/>
      <w:divBdr>
        <w:top w:val="none" w:sz="0" w:space="0" w:color="auto"/>
        <w:left w:val="none" w:sz="0" w:space="0" w:color="auto"/>
        <w:bottom w:val="none" w:sz="0" w:space="0" w:color="auto"/>
        <w:right w:val="none" w:sz="0" w:space="0" w:color="auto"/>
      </w:divBdr>
      <w:divsChild>
        <w:div w:id="906300937">
          <w:marLeft w:val="0"/>
          <w:marRight w:val="0"/>
          <w:marTop w:val="0"/>
          <w:marBottom w:val="0"/>
          <w:divBdr>
            <w:top w:val="none" w:sz="0" w:space="0" w:color="auto"/>
            <w:left w:val="none" w:sz="0" w:space="0" w:color="auto"/>
            <w:bottom w:val="none" w:sz="0" w:space="0" w:color="auto"/>
            <w:right w:val="none" w:sz="0" w:space="0" w:color="auto"/>
          </w:divBdr>
          <w:divsChild>
            <w:div w:id="1446198691">
              <w:marLeft w:val="0"/>
              <w:marRight w:val="0"/>
              <w:marTop w:val="0"/>
              <w:marBottom w:val="0"/>
              <w:divBdr>
                <w:top w:val="none" w:sz="0" w:space="0" w:color="auto"/>
                <w:left w:val="none" w:sz="0" w:space="0" w:color="auto"/>
                <w:bottom w:val="none" w:sz="0" w:space="0" w:color="auto"/>
                <w:right w:val="none" w:sz="0" w:space="0" w:color="auto"/>
              </w:divBdr>
              <w:divsChild>
                <w:div w:id="1646087202">
                  <w:marLeft w:val="0"/>
                  <w:marRight w:val="0"/>
                  <w:marTop w:val="0"/>
                  <w:marBottom w:val="0"/>
                  <w:divBdr>
                    <w:top w:val="none" w:sz="0" w:space="0" w:color="auto"/>
                    <w:left w:val="none" w:sz="0" w:space="0" w:color="auto"/>
                    <w:bottom w:val="none" w:sz="0" w:space="0" w:color="auto"/>
                    <w:right w:val="none" w:sz="0" w:space="0" w:color="auto"/>
                  </w:divBdr>
                  <w:divsChild>
                    <w:div w:id="1523937067">
                      <w:marLeft w:val="0"/>
                      <w:marRight w:val="0"/>
                      <w:marTop w:val="0"/>
                      <w:marBottom w:val="0"/>
                      <w:divBdr>
                        <w:top w:val="none" w:sz="0" w:space="0" w:color="auto"/>
                        <w:left w:val="none" w:sz="0" w:space="0" w:color="auto"/>
                        <w:bottom w:val="none" w:sz="0" w:space="0" w:color="auto"/>
                        <w:right w:val="none" w:sz="0" w:space="0" w:color="auto"/>
                      </w:divBdr>
                      <w:divsChild>
                        <w:div w:id="93660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304492">
      <w:bodyDiv w:val="1"/>
      <w:marLeft w:val="0"/>
      <w:marRight w:val="0"/>
      <w:marTop w:val="0"/>
      <w:marBottom w:val="0"/>
      <w:divBdr>
        <w:top w:val="none" w:sz="0" w:space="0" w:color="auto"/>
        <w:left w:val="none" w:sz="0" w:space="0" w:color="auto"/>
        <w:bottom w:val="none" w:sz="0" w:space="0" w:color="auto"/>
        <w:right w:val="none" w:sz="0" w:space="0" w:color="auto"/>
      </w:divBdr>
    </w:div>
    <w:div w:id="210272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D0013-8995-469F-8171-6C8430A29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A69AB-E87C-4EA1-952D-994A2353362F}">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E62674D6-DE8A-45FD-922A-26A6AE8D48D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65</TotalTime>
  <Pages>7</Pages>
  <Words>2756</Words>
  <Characters>15711</Characters>
  <Application>Microsoft Office Word</Application>
  <DocSecurity>0</DocSecurity>
  <Lines>130</Lines>
  <Paragraphs>36</Paragraphs>
  <ScaleCrop>false</ScaleCrop>
  <Company>ETSI</Company>
  <LinksUpToDate>false</LinksUpToDate>
  <CharactersWithSpaces>18431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Ville Vintola</cp:lastModifiedBy>
  <cp:revision>92</cp:revision>
  <dcterms:created xsi:type="dcterms:W3CDTF">2025-09-04T00:46:00Z</dcterms:created>
  <dcterms:modified xsi:type="dcterms:W3CDTF">2025-09-29T21:28:00Z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